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br/>
        <w:t>Registration No. 333-297485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1445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981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Common Stock, $0.001 par value</w:t>
        <w:br/>
        <w:t>108,868,331 Shares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108,868,331 shares of our common stock by the selling stockholders named herein. These shares are comprised of (i) up to 72,722,177 shares issued or issuable upon the conversion of our Series A Convertible Preferred Stock, par value $0.001 with a stated value of $1,000 per share (the “Series A Convertible Preferred Stock”) and (ii) up to 36,146,154 shares of common stock issued upon exercise of certain related warrants between March 2018 and the expiration of the warrants, in each case held by the selling stockholders named in this prospectus or their transferees. The shares of Series A Convertible Preferred Stock and the warrants were issued in the transactions described in this prospectus, and the selling stockholders are identified in the section entitled “Selling Stockholders” on page 12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a registration rights agreement we entered into with the selling stockholders, we are required to register (a) 100% of the number of shares of common stock underlying the Series A Convertible Preferred Stock and (b) 100% of the number of shares of common stock issued or issuable upon exercise of the SPA Warrants. Due to the dividend accrual provisions of the Series A Convertible Preferred Stock which will increase the number of shares of common stock issuable upon conversion, this combined prospectus relates to 40,286,793 shares of common stock in addition to the 32,435,384 shares that were initially issued or issuable upon conversion of 20,983 shares of Series A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combined prospectus (as described below) relates to the offer, resale or other disposition of these securities by the selling stockholders or their transferees. We are not selling any securities under this prospectus and will not receive any of the proceeds from the sale of shares by any selling stockholder. The selling stockholders may sell their respective shares of common stock described in this prospectus in a number of different ways and at varying prices. The registration of these shares of common stock does not necessarily mean that any of them will be offered or sold by the selling stockholders. We provide more information about how the selling stockholders may resell their respective shares of our common stock in the section titled “Plan of Distribution” beginning on page 15. We are paying the expenses incurred in registering the shares, including legal and accounting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NYSE American under the symbol “STXS.” On August 12, 2026, the last reported sale price for our common stock on the NYSE American was $1.40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buying any securities, you should read the discussion of material risks of investing in our common stock under the heading “Risk Factors” beginning on page 5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429 under the Securities Act of 1933, as amended, (the “Securities Act”), this prospectus is a combined prospectus which also relates to (i) the Registration Statement on Form S-1 (File No. 333-214255), which was initially declared effective on November 15, 2016, as amended by Post-Effective Amendments filed on March 30, 2018 and May 30, 2018, which was declared effective on May 31, 2018 (collectively, the “2016 Registration Statement”), and (ii) the Registration Statement on Form S-3 (File No. 333-272101), which was initially declared effective on June 6, 2023 (the “2023 Registration Statement”), relating to the resale, among other securities, of the shares of common stock described above by the selling stockholders named therein. Pursuant to Rule 429 under the Securities Act, the Registration Statement of which this prospectus is a part also constitutes a post-effective amendment to the 2016 Registration Statement and the 2023 Registration Statement, and such post-effective amendments will become effective concurrently with the effectiveness of the Registration Statement of which this prospectus is a part in accordance with Section 8(c) of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13,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5495"/>
        <w:gridCol w:w="425"/>
      </w:tblGrid>
      <w:tr>
        <w:trPr/>
        <w:tc>
          <w:tcPr>
            <w:tcW w:w="54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495"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495"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495"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FORWARD-LOOKING STATEMENTS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495"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USE OF PROCEEDS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5495"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SELLING STOCKHOLDERS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495" w:type="dxa"/>
            <w:tcBorders/>
            <w:shd w:fill="FFFF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PLAN OF DISTRIBUTION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495" w:type="dxa"/>
            <w:tcBorders/>
            <w:shd w:fill="CCEE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DESCRIPTION OF SECURITIES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495" w:type="dxa"/>
            <w:tcBorders/>
            <w:shd w:fill="FFFFFF" w:val="clear"/>
            <w:vAlign w:val="center"/>
          </w:tcPr>
          <w:p>
            <w:pPr>
              <w:pStyle w:val="TableContents"/>
              <w:bidi w:val="0"/>
              <w:spacing w:before="0" w:after="283"/>
              <w:jc w:val="left"/>
              <w:rPr/>
            </w:pPr>
            <w:hyperlink w:anchor="m_008">
              <w:r>
                <w:rPr>
                  <w:rStyle w:val="InternetLink"/>
                  <w:rFonts w:ascii="Times New Roman;Times;Serif" w:hAnsi="Times New Roman;Times;Serif"/>
                  <w:b w:val="false"/>
                  <w:i w:val="false"/>
                  <w:caps w:val="false"/>
                  <w:smallCaps w:val="false"/>
                  <w:sz w:val="20"/>
                </w:rPr>
                <w:t>LEGAL MATTERS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CCEEFF" w:val="clear"/>
            <w:vAlign w:val="center"/>
          </w:tcPr>
          <w:p>
            <w:pPr>
              <w:pStyle w:val="TableContents"/>
              <w:bidi w:val="0"/>
              <w:spacing w:before="0" w:after="283"/>
              <w:jc w:val="left"/>
              <w:rPr/>
            </w:pPr>
            <w:hyperlink w:anchor="m_009">
              <w:r>
                <w:rPr>
                  <w:rStyle w:val="InternetLink"/>
                  <w:rFonts w:ascii="Times New Roman;Times;Serif" w:hAnsi="Times New Roman;Times;Serif"/>
                  <w:b w:val="false"/>
                  <w:i w:val="false"/>
                  <w:caps w:val="false"/>
                  <w:smallCaps w:val="false"/>
                  <w:sz w:val="20"/>
                </w:rPr>
                <w:t>EXPERTS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FFFFFF" w:val="clear"/>
            <w:vAlign w:val="center"/>
          </w:tcPr>
          <w:p>
            <w:pPr>
              <w:pStyle w:val="TableContents"/>
              <w:bidi w:val="0"/>
              <w:spacing w:before="0" w:after="283"/>
              <w:jc w:val="left"/>
              <w:rPr/>
            </w:pPr>
            <w:hyperlink w:anchor="m_010">
              <w:r>
                <w:rPr>
                  <w:rStyle w:val="InternetLink"/>
                  <w:rFonts w:ascii="Times New Roman;Times;Serif" w:hAnsi="Times New Roman;Times;Serif"/>
                  <w:b w:val="false"/>
                  <w:i w:val="false"/>
                  <w:caps w:val="false"/>
                  <w:smallCaps w:val="false"/>
                  <w:sz w:val="20"/>
                </w:rPr>
                <w:t>WHERE YOU CAN FIND ADDITIONAL INFORMATION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CCEEFF" w:val="clear"/>
            <w:vAlign w:val="center"/>
          </w:tcPr>
          <w:p>
            <w:pPr>
              <w:pStyle w:val="TableContents"/>
              <w:bidi w:val="0"/>
              <w:spacing w:before="0" w:after="283"/>
              <w:jc w:val="left"/>
              <w:rPr/>
            </w:pPr>
            <w:hyperlink w:anchor="m_011">
              <w:r>
                <w:rPr>
                  <w:rStyle w:val="InternetLink"/>
                  <w:rFonts w:ascii="Times New Roman;Times;Serif" w:hAnsi="Times New Roman;Times;Serif"/>
                  <w:b w:val="false"/>
                  <w:i w:val="false"/>
                  <w:caps w:val="false"/>
                  <w:smallCaps w:val="false"/>
                  <w:sz w:val="20"/>
                </w:rPr>
                <w:t>INCORPORATION OF CERTAIN DOCUMENTS BY REFERENCE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m_001"/>
      <w:bookmarkEnd w:id="2"/>
      <w:r>
        <w:rPr>
          <w:rFonts w:ascii="Times New Roman;Times;Serif" w:hAnsi="Times New Roman;Times;Serif"/>
          <w:b/>
          <w:i w:val="false"/>
          <w:caps/>
          <w:sz w:val="20"/>
        </w:rPr>
        <w:t>PROSPECTUS SUMMARY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about Stereotaxis, Inc. and a general description of the securities that may be offered for resale or other disposition by the selling stockholders. This summary is not complete and does not contain all of the information that may be important to you. For a more complete understanding of us and the securities offered by the selling stockholders, you should carefully read this entire prospectus, including the “Risk Factors” section, any applicable prospectus supplement for these securities and the other documents we refer to and incorporate by reference. In particular, we incorporate important business and financial information into this prospectus by reference.</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products include the Genesis RMN and the GenesisX RMN Systems, the Synchrony &amp; SynX Solutions, various interventional devices under the Map-iT, MAGiC and EMAGIN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Genesis RMN and the GenesisX RMN Systems are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GenesisX RMN System, the latest generation of the Genesis RMN System, is designed to significantly enhance the accessibility of Robotic Magnetic Navigation by reducing the lengthy construction cycle necessary to install prior generation RMN systems.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Synchrony 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SynX, a cloud-based HIPAA and GDPR-compliant app that allows for secure remote connectivity, collaboration, recording, and monitoring of the cath lab. These technologies are sold alongside RMN systems and as stand-alone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arrangements with fluoroscopy system manufacturers to provide such systems in a bundled purchase offer for hospitals establishing robotic interventional operating rooms. An integrated x-ray system is critical for customer adoption of RMN systems, and when offered as a bundled purchase with the RMN System, it may reduce the cost of acquisition, the ongoing cost of ownership, and the complexity of installation of a robotic electrophysiology practice.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in June 1990. Our principal executive offices are located at 710 North Tucker Boulevard, Suite 110, Saint Louis, Missouri 63101, and our telephone number is (314) 678-6100. Our website address is www.stereotaxis.com. Information contained on our website is not incorporated by reference into and does not form any part of this prospectus. As used in this prospectus, references to “Company”, “we”, “our”, “us” and “Stereotaxis” refer to Stereotaxis, Inc. unless the context requires otherwise. GenesisX RMN®, Genesis RMN®, Niobe®, Navigant®, Synchrony™, SynX™, Odyssey®, Odyssey Cinema™, MAGiC™, MAGiC Sweep™, EMAGIN™, Map-iT™, QuikCAS™, Cardiodrive®, Vdrive®, Vdrive Duo™, V-CAS™, V-Loop™, V-Sono™, and NuVizion™ are trademarks of Stereotaxis, Inc. All other trademarks that appear in this report are the property of their respective owners.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the Company completed its acquisition (the “Acquisition”) of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 for approximately $20.0 million of cash and common stock. Pursuant to the Share Sale Agreement, dated as of April 14, 2026 (the “Share Sale Agreement”), by and among Stereotaxis, the securityholders of Robocath party thereto (the “Securityholders”) and an individual serving as manager, the Company acquired shares and other securities collectively representing 100% of the share capital and voting power of Robocath (on a fully-diluted basis) from the Securityholders. Robocath, headquartered in Rouen, France is a venture-backed innovator of advanced mechanical robotic technology for interventional cardiology and neurointerventions.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the Company made certain cash payments for the benefit of the Securityholders and issued (i) 1,469,485 shares of its common stock and (ii) “pre-funded” warrants (the “Purchaser Warrants”) to purchase 4,575,143 shares of its common stock to the Securityholders, in accordance with the terms and subject to the conditions set forth in the Share Sale Agreement. The Purchaser Warrants were issued to a Robocath securityholder that elected, as permitted by the Share Sale Agreement, to receive Purchaser Warrants in the Acquisition in lieu of shares of common stock it would have otherwise received under the Share Sale Agreement. Each Purchaser Warrant issued at closing entitles the holder thereof to acquire one share of our common stock at an exercise price equal to the par value of such common stock and is exercisable at any time from the date of issuance until July 7, 2031. In addition, at the closing of the Acquisition, we also issued 225,000 shares of our common stock to Robocath’s financial advisor as partial payment of a success fee for acquisition advisory services rendered to Robocath and its Securityholders in connection with the Acquisition.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consideration, we agreed to pay the Securityholders additional earnout consideration of up to $25.0 million upon the achievement of certain milestones, consisting of (i) $10 million upon the achievement of one regulatory milestone based on receipt of US FDA regulatory approval of certain next-generation interventional medical devices that Robocath currently has in development and (ii) up to $15 million for two commercial sales milestones, in the amounts of $5 million and $10 million, respectively. Robocath’s financial advisor will be entitled to additional fees upon payment of such earnouts. The earnout payments (and additional fees) are deliverable in the form of cash, a number of shares of Stereotaxis common stock (or Purchaser Warrants in lieu thereof subject to the continuing election of the eligible Securityholder) to be calculated in accordance with valuation formulas set forth in the Share Sale Agreement, or a combination of cash and stock (or Purchaser Warrants), provided that the aggregate number of shares that may be issuable as upfront stock consideration (including on exercise of any Purchaser Warrants), in respect of the foregoing regulatory and the commercial milestones and as payment to Robocath’s financial advisor may not exceed 19.9% of the total number of shares of the Company’s common stock issued and outstanding immediately prior to the closing(the “NYSE American Share Cap”) without obtaining any required stockholder approval under the NYSE American rules. The exact number of shares and/or Purchaser Warrants, if any, to be issued under the Share Sale Agreement for earnout payments would be determined using the value of the Company’s common stock at the time(s) such commercial or regulatory milestones are achieved, based on the average of the closing per share price of the Company’s common stock for each of the five trading days ending on the second business day prior to payment date for such milestones, and will in any event be reduced to the extent the Company elects to pay the milestone consideration in cash, as a result of the NYSE American Share Cap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and the Securityholders entered into a Resale Organization Agreement, dated as of July 7, 2026 (the “Resale Organization Agreement”), which is intended to facilitate the orderly resale of shares of our common stock (including shares issuable upon exercise of Purchaser Warrants) held by the Securityholders following the closing of the Acquisition. The Resale Organization Agreement imposes certain volume limitations on open-market sales by the Securityholders and grants the European Investment Bank priority resale rights during an initial period following the closing of the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filing of the registration statement of which this prospectus is a part, the Company has filed a resale registration statement relating to the resale of up to 19,449,603 shares issued and potentially issuable in the Acquisition (including upon the exercise of Purchaser Warrants), which includes the upfront stock consideration and Purchaser Warrants issued on July 7, 2026 and additional shares that may become issuable upon achievement of the regulatory and commercial milestones. The number of shares covered by such resale registration statement represents 19.9% of the shares of the Company’s common stock issued and outstanding as of April 30, 2026, which is slightly fewer than the total number of shares we may issue under the NYSE American Share Cap.</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Being Offered</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resale or other disposition of up to an aggregate of 108,868,331 shares of our common stock, comprised of (i) up to 72,722,177 shares issuable upon the conversion of our Series A Convertible Preferred Stock (as defined below) and (ii) up to 36,146,154 shares of common stock upon exercise of certain related warrants, in each case held by the selling stockholders named in this prospectus or their transferees. The shares of Series A Convertible Preferred Stock and the warrants were issued in the transactions described below, and the selling stockholders are identified in the section entitled “Selling Stockholders” on page 12, below. We will not receive any proceeds from the sale of the shares of common stock by the selling stockholders. The registration of these shares of common stock does not necessarily mean that any of them will be offered or sold by the selling stockholders. The securities may be sold directly or through brokers, dealers or agents in private or market transactions. In connection with any sales, the selling stockholders and any brokers, dealers or agents participating in such sales may be deemed to be “underwriters” within the meaning of the Securities Act. See “Plan of Distribution.”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2016, we entered into a Securities Purchase Agreement (the “SPA”), pursuant to which we sold in a private placement sale to the investors identified on the Schedule of Buyers thereto (together the “Buyers”) (i) a total of 24,000 shares of our Series A Convertible Preferred Stock, par value $0.001 with a stated value of $1,000 per share (the “Series A Convertible Preferred Stock”), initially convertible into 36,923,078 shares of common stock based upon an initial conversion price of $0.65 per share, subject to certain adjustments, and (ii) related warrants (the “SPA Warrants”) to initially purchase an aggregate of 36,923,078 shares of our common stock at an initial warrant exercise price of $0.70 per share subject to certain adjustments and for a term of five (5) years. The Series A Convertible Preferred Stock and the SPA Warrants were sold at an aggregate price of $24 million. This transaction (the “Financing Transaction”) closed on September 29, 2016. Of the 24,000 shares of Series A Convertible Preferred Stock originally issued, an aggregate of 20,983 remain issued and outstanding, 100 have been converted into common stock held by an affiliate and 2,917 have been converted into common stock by non-affiliates. As a result, the New Registration Statement (as defined below) and this prospectus do not relate to such shares of common stock underlying the 2,917 shares that have been previously converted into common stock by non-affiliates, which are no longer registrable securities under the Registration Rights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2018, we entered into a Consent and Amendment with the holders of a majority of the shares of common stock issuable upon exercise of the SPA Warrants pursuant to which the exercise price of the SPA Warrants was reduced from $0.70 per share to $0.28 per share that ended at 1:00 p.m. (Eastern Standard Time) on March 5, 2018 (the “Restricted Exercise Period”), provided that (i) exercises of the SPA Warrants at the reduced exercise price would only be effected if the aggregate exercise price for all SPA Warrants exercised during the Restricted Exercise Period was at least $6,000,000 (the “Exercise Condition”), (ii) cashless exercise was not permitted during the Restricted Exercise Period, (iii) the exercising holder was required to enter into a lock-up agreement with the Company agreeing not to sell the SPA Warrants or the shares received on exercise of the SPA Warrants (the “Warrant Shares”) for a period of 18 months following March 12, 2018 and (iv) the limitations on beneficial ownership of the Company’s common stock set forth in the SPA Warrants would not apply to Warrant Shares issued to a holder upon exercises of such holder’s SPA Warrants during the Restricted Exercise Period. The Exercise Condition was satisfied and the Company issued 35,791,927 shares of common stock to such exercising holders for an aggregate exercise price of $10,021,739. Subsequent to the expiration of the Consent and Amendment, an additional 1,115,765 warrants were exercised at the original exercise price of $0.70 per share for an aggregate exercise price of $781,035. The balance of the SPA Warrants expired unexercised.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original Financing Transaction, we entered into a registration rights agreement with the purchasers of the Series A Convertible Preferred Stock and the SPA Warrants (the “Registration Rights Agreement”), under which we agreed to undertake to file one or more registration statements on behalf of the selling stockholders with respect to the offer, resale or other disposition of the common stock issued or issuable upon the conversion of the Series A Convertible Preferred Stock and upon the exercise of the SPA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Statement on Form S-1 (File No. 333-214255) (the “2016 Registration Statement”), was initially declared effective on November 15, 2016 and registered (a) 130% of the number of shares initially issuable upon conversion of all issued and outstanding shares of Series A Convertible Preferred Stock and (b) 100% of the number of shares of common stock issued or issuable upon exercise of the SPA Warrants. In connection with the Consent and Amendment, the Company determined to file a post-effective amendment to register for resale the shares of common stock issued upon exercise of the SPA Warrants as amended, in the event that the SEC were to conclude the Consent and Amendment represented the issuance of a new security. Accordingly, on March 30, 2018 and May 30, 2018 we filed Post-Effective Amendments, which was declared effective on May 31, 2018 to confirm the registration of the resale of the Warrant Shares issued upon exercise of the SPA Warrants as amended by the Consent and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Statement on Form S-3 (File No. 333-272101) (the “2023 Registration Statement”), was initially declared effective on June 6, 2023 and registered an additional 10,000,000 shares of our common stock issuable upon conversion of the Series A Preferred as a result of the dividend accrual feature. Pursuant to Rule 429 under the Securities Act, the 2023 Registration Statement constituted a Post-Effective Amendment No. 3 to the 2016 Registration Statement and converted the 2016 Registration Statement to a registration statement on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we filed a Registration Statement on Form S-3 (the “New Registration Statement”), of which this prospectus is a part, to register an additional 20,000,000 shares issuable upon conversion of the Series A Preferred as a result of the dividend accrual feature. Pursuant to Rule 429 under the Securities Act, the New Registration Statement will constitute a Post-Effective Amendment No. 4 to the 2016 Registration Statement and a Post-Effective Amendment No. 1 to the 2023 Registration Statement. Pursuant to Rule 429, this prospectus is a combined prospectus relating to both the additional shares registered under the New Registration Statement and to shares covered by the 2016 Registration Statement and the 2023 Registration Statement. The 2016 Registration Statement also related to an aggregate of 1,141,935 shares of our common stock underlying warrants issued under various agreements in 2013, as well as an aggregate of 15,385 shares underlying the SPA Warrants, all of which were never exercised and have expired. The 2016 Registration Statement and the 2023 Registration Statement also related to an aggregate of 6,002,583 shares underlying shares of Series A Convertible Preferred Stock that have previously been converted. The New Registration Statement and this prospectus does not relate to such shares of common stock underlying such unexercised and expired warrants or previously converted shares of Series A Convertible Preferred Stock.</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m_002"/>
      <w:bookmarkEnd w:id="3"/>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Prior to making a decision about investing in our securities, you should carefully consider the risks described in, or incorporated by reference in, this prospectus, including the risks described below and under the caption “Risk Factors” in our Annual Report on Form 10-K for the year ended December 31, 2025, and in any other reports that we file with the Securities and Exchange Commission (the “SEC”), along with the other information included or incorporated by reference in this prospectus, in evaluating an investment in our common stock. The information included or incorporated by reference in this prospectus may be amended, supplemented or superseded from time to time by other reports we file with the SEC in the future. For a description of these reports and documents, and information about where you can find them, see the sections entitled “Where You Can Find Additional Information” and “Incorporation of Certain Documents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and uncertainties described in this prospectus and the documents incorporated by reference in this prospectus represent all the material risks known to us, but they are not the only ones facing us. Additional risks and uncertainties that we do not presently know about or that we currently believe are not material may also adversely affect our business. If any of the risks and uncertainties described in this prospectus or the documents incorporated by reference herein actually occur, our business, financial condition and results of operations could be adversely affected in a material way. As a result, the trading price of our common stock and/or the value of any other securities we may issue may decline, and you might lose part or all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securities could dilute current stockholders’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of which this prospectus is a part covers the resale or other disposition up to 108,868,331 shares of our common stock, including up to an aggregate of 72,722,177 shares originally issued or issuable in the future upon the conversion of our Series A Convertible Preferred Stock, which number includes 40,285,200 shares related to the dividend accrual provisions in the Certificate of Designations, Preferences and Rights of Series A Convertible Preferred Stock of Stereotaxis, Inc. the “Certificate of Designations”) related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51,178,184 million shares of our common stock issuable upon conversion of our Series A Convertible Preferred Stock. Our Series A Convertible Preferred Stock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 which will dilute the ownership of our common stockholders. As a result of this accrual feature, this prospectus relates to more shares of common stock issuable upon conversion of Series A Convertible Preferred Stock than are currently issuable as of the effective date of the registration statement of which this prospectus is a part.</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number of shares of our common stock are subject to issuance under our existing stock incentive plans, and we may request the ability to issue additional such securities. We may also decide to raise additional funds through public or private debt or equity financing to fund our operations. In March 2026, we filed a new shelf registration statement on Form S-3 to register (i) $100.0 million of debt securities, common stock, preferred stock, warrants, rights or units consisting of any two or more of such securities (the “2026 Shelf”) and (ii) $50 million shares of common stock to be issued under the at-the-market offering program with Roth Capital (the “Roth ATM Facility”). The 2026 Shelf is currently effective, and as of June 30, 2026, $49.3 million of common stock remained available to be sold under the Roth ATM Facility, subject to certain conditions as specified in the sales agreement. While we cannot predict the effect, if any, that future sales of debt, our common stock, other equity securities or securities exercisable for or convertible into our common stock or other equity securities or the availability of any of the foregoing for future sale, will have on the market price of our common stock, it is likely that sales of substantial amounts of our common stock (including shares issued upon the exercise of stock options and stock appreciation rights, the vesting of the CEO Performance Share Unit Award and restricted stock units, or the conversion of any convertible securities outstanding now or in the future, including the Series A Convertible Preferred Stock), will dilute the ownership of our existing stockholders and that the perception that such sales could occur, will adversely affect prevailing market prices for our common stock.</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additional shares of our common stock as a result of earnout provisions in the agreements we entered into in connection with our 2024 acquisition of Access Point Technologies EP, Inc. (“APT”) and our recently closed acquisition of Robocath, which would further dilute our current stockholders’ ownership. See “</w:t>
      </w:r>
      <w:r>
        <w:rPr>
          <w:rFonts w:ascii="Times New Roman;Times;Serif" w:hAnsi="Times New Roman;Times;Serif"/>
          <w:b w:val="false"/>
          <w:i/>
          <w:caps w:val="false"/>
          <w:smallCaps w:val="false"/>
          <w:sz w:val="20"/>
        </w:rPr>
        <w:t xml:space="preserve">Risks Related to our Recently Completed Acquisition of Robocath—Issuance of the Earnout Consideration will result in dilution to our stockholders and may adversely affect us, including the market price of our securities.” </w:t>
      </w:r>
      <w:r>
        <w:rPr>
          <w:rFonts w:ascii="Times New Roman;Times;Serif" w:hAnsi="Times New Roman;Times;Serif"/>
          <w:b w:val="false"/>
          <w:i w:val="false"/>
          <w:caps w:val="false"/>
          <w:smallCaps w:val="false"/>
          <w:sz w:val="20"/>
        </w:rPr>
        <w:t>As of June 30, 2026, we have issued an aggregate of 1,419,523 shares as earnout consideration to APT. However, the exact number of earnout shares that may be issued under the agreements with APT and Robocath for future milestones will be based on formulas in those agreements, and is indeterminate, subject in each case to a cap of 19.9% of the total number of shares of the Company’s common stock issued and outstanding immediately prior to the respective closing dates of those transactions. In addition, the vesting of the right to receive the earnout shares under the APT acquisition agreement would be accelerated in the event of a change of control of Stereotaxis, based on a probability-weighted average estimate of the potential to achieve any remaining milestones, discounted to its net present value considering expected time when earnouts related to the milestones would become payable through September 30,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Series A Convertible Preferred Stock ranks senior to our common stock as to distributions and payments upon the liquidation, dissolution and winding up of the Company. No such distributions or payments upon the liquidation, dissolution and winding up of the Company may be made to holders of common stock unless and until the holders of the Series A Convertible Preferred Stock have received the stated value of $1,000 per share plus any accrued and unpaid dividends. Until all Series A Convertible Preferred Stock have been converted or redeemed, no dividends may be paid on the common stock without the express written consent of the holders of a majority of the outstanding Series A Convertible Preferred Stock. In the event that dividends or other distributions of assets are made or paid by the Company to the holders of the common stock, the holders of Series A Convertible Preferred Stock are entitled to participate in such dividend or distribution on an as-converted basis. Any such distributions or payments upon the liquidation, dissolution or winding up of the Company may dilute the ownership interests of our existing stockholders.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Recently Completed Acquisition of Robocath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integrate Robocath into our business and may fail to realize any or all of the anticipated benefits of the Acquisition, or those benefits may take longer to realize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our acquisition of Robocath, both companies previously operated independently and manufactured different products. The success of the Acquisition will depend, in part, on our ability to (i) successfully integrate Robocath’s businesses into Stereotaxis, (ii) successfully manufacture, commercialize, develop and sell Robocath’s robotic systems and next-generation interventional medical devices and related products, and (iii) realize the anticipated benefits, including synergies, cost savings, growth and innovation opportunities and operational efficiencies, from the Acquisition, all in a manner that does not materially disrupt existing customer, supplier and employee relations. If we are unable to achieve these objectives within the anticipated time frame, or at all, the anticipated benefits may not be realized fully or at all, or may take longer to realize than expected, and the value of our common stock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Robocath into our business may result in material challenges,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from ongoing business concerns relating to our historical business and any resulting disruption to our current plans and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 more complex combined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operations to manufacture Robocath’s robotic systems and associated disposable products and overcoming our lack of manufacturing experience related to such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employee morale, retaining key Robocath employees and the possibility that the integration process and organizational changes may adversely impact the ability to maintain employee relationships;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transitioning and maintaining business and operational relationships of Robocath, including suppliers, collaboration partners, employees and other counterparties;</w:t>
            </w:r>
          </w:p>
        </w:tc>
      </w:tr>
    </w:tbl>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retaining Robocath’s existing customers, including managing existing contracts with and any disputes with such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process not proceeding as expected, including due to a possibility of faulty assumptions or expectations regarding the integration process or Robocath’s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litigation, disputes, investigations or other events that could increase our expenses, result in liability or require that we take other action;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corporate, administrative and compliance infrastructures and eliminating duplicative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and logistical challenges associated with coordinating activities and maintaining consistent operational standards across widely-different locations, separated by both geography and time zones;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issues in integrating information technology, communications and other systems;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expenses, costs, liabilities or delays associated with the Acquisition or the integration;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diverse and unfamiliar foreign laws or regulatory requirements, or unexpected changes to those laws or requirements, including healthcare-specific regulatory regimes applicable to Robocath’s business in France and other jurisdictions, including managing relationships with our regulators or other governmental authorities;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costs and monitoring of compliance with other laws and regulatory requirements to which our business activities abroad are currently subject, such as the U.S. Foreign Corrupt Practices Act and anti-corruption laws, and similar laws with a significant anti-corruption intent in France and other foreign countries, in which we and Robocath operate;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payor reimbursement regimes, governmental payors and price controls applicable to medical devices in foreign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any competitive responses to the Acquisition;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French corporate law applicable to Robocath, with which we are not familiar;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differences in the conduct of business.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outside of our control, and any one of them could result in delays, increased costs, decreases in the amount of expected cost savings or synergies and diversion of management’s time and energy, which could materially affect our financial position, results of operations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Robocath acquisition will not be accretive to us and will increase our operating losses.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consider the acquisition of Robocath as complementary to our existing business, Robocath has sustained historical operating losses, and we expect that it will continue to incur operating losses and negative cash flows in the coming few years. We may be required to fund Robocath’s ongoing operations for the foreseeable future. For example, we extended operating loans to Robocath of $1.1 million between signing of the Share Sale Agreement and the Acquisition closing, which loans were repaid at closing and reduced the amount of the Upfront Stock Consideration we paid to Robocath’s equity holders. Accordingly, the Robocath acquisition will not be accretive to us and will increase our operating losses and negatively impact our results of operations on a consolidated basis in the near term. While we have plans to improve Robocath’s operating results primarily through leveraging our commercial organization to grow revenue of their next-generation system, we may not be successful in doing so in the near term or at all.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results may be adversely impacted if we do not effectively manage Robocath’s robotic systems and disposable products business following the completion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we will be managing Robocath’s ongoing business of manufacturing, commercializing, developing and selling robotic systems and associated disposable products and services. The manufacturing and development process of such robotic systems and disposable products is complex, highly technical, and our prior experience in this field is dated. The process can be subject to periodic worldwide supply chain disruptions, including labor shortages and inflationary pressures, and logistics delays which make it difficult for us to source parts and ship our products. We may require a higher level of overhead than currently anticipated. Our ability to successfully manage this new aspect of our business will depend, in part, upon management’s ability to design and implement strategic initiatives that address not only the integration of Robocath into us, but also the increased scope of the combined business with its associated increased costs and complexity. There can be no assurances that we will be successful in manufacturing and commercializing Robocath’s robotic systems and disposable products or that we will realize the expected operating efficiencies, cost savings and other benefits anticipated from the acquisition.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earnout consideration using earnout shares will result in dilution to our stockholders and may adversely affect us, including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of Robocath on July 7, 2026, we issued 6,044,628 shares of our common stock as closing shares (including shares of common stock issuable upon exercise of purchaser warrants issued to certain of the Securityholders in lieu of closing shares). We also issued 225,000 shares of common stock to Robocath’s financial advisor as partial payment of a success fee for acquisition advisory services rendered to Robocath and its securityholders in connection with the Acquisition. In addition, the Share Sale Agreement requires us to pay up to $25 million of additional earnout consideration to the Securityholders upon achievement of a regulatory milestone and/or either or both of two commercial milestones, which we may pay in cash, by issuing earnout shares (including shares of common stock issuable upon exercise of purchaser warrants issued to certain of the Securityholders in lieu of earnout shares), or in a combination of cash and Earnout Shares (or Purchaser Warrants), at our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Sale Agreement obligated us to file a resale registration statement relating to the 6,269,628 closing shares and to Earnout Shares that may be issuable pursuant to the earnout provisions in the Share Sale Agreement. We have elected to register 13,179,975 of </w:t>
      </w:r>
      <w:r>
        <w:rPr>
          <w:rFonts w:ascii="Times New Roman;Times;Serif" w:hAnsi="Times New Roman;Times;Serif"/>
          <w:b w:val="false"/>
          <w:i w:val="false"/>
          <w:caps w:val="false"/>
          <w:smallCaps w:val="false"/>
          <w:sz w:val="20"/>
          <w:shd w:fill="FFFFFF" w:val="clear"/>
        </w:rPr>
        <w:t xml:space="preserve">such </w:t>
      </w:r>
      <w:r>
        <w:rPr>
          <w:rFonts w:ascii="Times New Roman;Times;Serif" w:hAnsi="Times New Roman;Times;Serif"/>
          <w:b w:val="false"/>
          <w:i w:val="false"/>
          <w:caps w:val="false"/>
          <w:smallCaps w:val="false"/>
          <w:sz w:val="20"/>
        </w:rPr>
        <w:t>earnout shares; however, the exact number of shares we may issue under the Share Sale Agreement as earnout consideration will depend on: (i) whether and to what extent the regulatory and/or the commercial milestones are achieved; (ii) whether we elect to pay all or a portion of such consideration in cash or using earnout shares (or Purchaser Warrants); and (iii) the actual average closing price of our common stock calculated pursuant to a formula near the time such milestones are achieved. The Share Sale Agreement provides for a cap on the number of earnout shares, when combined with the closing shares, of 19.9% of the total number of shares of our common stock issued and outstanding before the issuance of shares in the Acquisition (the “Share Cap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foregoing, if the regulatory and/or commercial milestones are achieved, we could elect to issue all of the </w:t>
      </w:r>
      <w:r>
        <w:rPr>
          <w:rFonts w:ascii="Times New Roman;Times;Serif" w:hAnsi="Times New Roman;Times;Serif"/>
          <w:b w:val="false"/>
          <w:i w:val="false"/>
          <w:caps w:val="false"/>
          <w:smallCaps w:val="false"/>
          <w:sz w:val="20"/>
          <w:shd w:fill="FFFFFF" w:val="clear"/>
        </w:rPr>
        <w:t xml:space="preserve">Earnout Shares in addition </w:t>
      </w:r>
      <w:r>
        <w:rPr>
          <w:rFonts w:ascii="Times New Roman;Times;Serif" w:hAnsi="Times New Roman;Times;Serif"/>
          <w:b w:val="false"/>
          <w:i w:val="false"/>
          <w:caps w:val="false"/>
          <w:smallCaps w:val="false"/>
          <w:sz w:val="20"/>
        </w:rPr>
        <w:t>to the closing shares we issued at the closing of the Acquisition, which would cause significant additional dilution to the Company’s stockholders. Moreover, even if we are not required to issue any earnout shares, the potential for the issuance of such shares may negatively affect the trading price of our common stock in anticipation of such potential dilution. Sales of a substantial number of shares comprising the closing shares or any earnout shares in the public market, or the perception that such sales may occur, could adversely affect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 certain circumstances, we may take certain actions to achieve the milestones under the Share Sale Agreement that we would not have undertaken if we had not completed the Acquisition, which may have an adverse effect on the historical business of Stereotaxis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during the earnout periods under our Share Sale Agreement, which include a regulatory milestone period ending on December 31, 2033 and two commercial milestone periods ending on December 31, 2035 and December 31, 2037, respectively, we agreed to use commercially reasonable efforts (as defined in the Share Sale Agreement) to complete the development of Robocath’s next-generation R-Two Products, including product development, manufacturing, and clinical and regulatory efforts to obtain FDA regulatory approval and regulatory authorization in Europe, and, subject to obtaining such authorizations, to commercialize the R-Two Products in the applicable territories. We also agreed to use commercially reasonable efforts to retain Robocath employees, on an employment or consulting basis, necessary to achieve the regulatory and commercial milestones and to ensure such individuals have adequate means, resources and support to perform their duties effectively.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retain the sole authority to operate and control Robocath’s business and its operations, including without limitation, any and all decisions relating to various aspects of the combined business, we may nevertheless take certain actions related to the milestones that we would not have undertaken if we had not completed the Acquisition.</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Robocath has historically been a private company that prepared its financial statements in accordance with French GAAP and was not subject to SEC reporting obligations, and we may encounter significant difficulties in integrating Robocath’s financial reporting and internal controls with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Acquisition, Robocath was not required to maintain the financial reporting processes, internal controls over financial reporting, or public company governance practices that are required of U.S. public companies. Developing and managing these processes at Robocath, including the preparation of timely and accurate financial information for inclusion in our SEC filings and the implementation of internal controls, procedures, and policies appropriate for a U.S.-based public company, will require significant management attention, resources and expenditures. In addition, Robocath has historically prepared its financial statements in accordance with French generally accepted accounting principles, which differ in significant respects from U.S. GAAP. The conversion of Robocath’s historical financial data and ongoing accounting practices to U.S. GAAP may present substantial challenges, and we may encounter difficulties in identifying and correcting deficiencies in Robocath’s internal controls over financial reporting that arise from these differences in accounting standards and practices. Any failure to successfully convert Robocath’s financial data and accounting practices to U.S. GAAP, or to establish and maintain adequate financial reporting processes and internal controls at Robocath, could result in material weaknesses or significant deficiencies in our internal controls over financial reporting, errors or delays in our consolidated financial reporting, restatements of our consolidated financial statements, additional audit costs, regulatory scrutiny, or increased legal or financial risk, any of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French labor and employment laws applicable to Robocath’s employees may increase our operational costs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employees of our subsidiary, Robocath, are employed outside the United States, including in France, where labor and employment laws are relatively stringent and, in many cases, grant significant job protection to certain employees, including rights upon termination of employment. In addition, Robocath’s employees may be members of unions or represented by a works council as required by applicable French law, and we may be required to consult with such unions or works councils in connection with certain operational decisions. These more stringent labor and employment laws, to the extent that they are applicable, coupled with any requirement to consult with the relevant unions or works councils, could increase our operational costs with respect to our employees at Robocath. If such increased operational costs become significant, our business, financial condition, and results of operations could be adversely affected, perhaps materially.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significant tax risks and uncertainties in connection with Robocath’s operations, including challenges relating to transfer pricing, withholding taxes, and local tax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Robocath’s operations are subject to French corporate income tax, local business taxes and various other French and EU taxes. Following the Acquisition, intercompany transactions between Robocath and our US operations may be subject to complex transfer pricing rules, which require that such transactions be conducted at arm’s length. In addition, dividends, interest, and other payments to us by Robocath may be subject to French withholding taxes, potentially subject to reduction under the US-France tax treaty. Our limited experience with French tax compliance and intercompany pricing increases the risk of disputes, adjustments, or penalties that could adversely affect our financial results.</w:t>
      </w:r>
    </w:p>
    <w:p>
      <w:pPr>
        <w:pStyle w:val="TextBody"/>
        <w:bidi w:val="0"/>
        <w:spacing w:before="0" w:after="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m_003"/>
      <w:bookmarkEnd w:id="4"/>
      <w:r>
        <w:rPr>
          <w:rFonts w:ascii="Times New Roman;Times;Serif" w:hAnsi="Times New Roman;Times;Serif"/>
          <w:b/>
          <w:i w:val="false"/>
          <w:caps/>
          <w:sz w:val="20"/>
        </w:rPr>
        <w:t>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contains “forward-looking” statements within the meaning of the Private Securities Litigation Reform Act of 1985. These statements relate to, among other things:</w:t>
      </w:r>
    </w:p>
    <w:p>
      <w:pPr>
        <w:pStyle w:val="TextBody"/>
        <w:bidi w:val="0"/>
        <w:spacing w:before="0" w:after="0"/>
        <w:ind w:left="0" w:right="0" w:firstLine="36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operating, sales and marketing, and regulatory strategies;</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170"/>
        <w:gridCol w:w="1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 proposition;</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liquidity and our ability to fund operations;</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135"/>
        <w:gridCol w:w="230"/>
        <w:gridCol w:w="8195"/>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convert backlog to revenue;</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our recently completed acquisition of Robocath, as set forth in “Risk Factors” above; </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physicians to perform certain medical procedures with our products safely, effectively and efficiently;</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our products by hospitals and physicians;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opportunity for our products, including expected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170"/>
        <w:gridCol w:w="8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prospects for regulatory approval of our additional disposable interventional devices;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partnerships and strategic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generally, and overall 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70"/>
        <w:gridCol w:w="3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for hiring additional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acquisitions, including the acquisition of Robocath, our ability to achieve the strategic and other objectives of any such acquisitions, and the risk that we may be unable to integrate the operations of acquired companies successfully and within the expected time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other plans, objectives, expectations and intentions contained or incorporated into this prospectus that are not historical facts.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“will”, “should”, “could”, “expects”, “plans”, “intends”, “anticipates”, “believes”, “estimates”, “predicts”, “potential”, or “continue”, or the negative of such terms or other comparable terminology. Although we believe that the expectations reflected in the forward-looking statements are reasonable, we cannot guarantee future results, levels of activity, performance, or achievements. These statements are only predictions.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our actual results to differ materially from our forward-looking statements include, among others, changes in general economic and business conditions and the risks and other factors set forth in “Risk Factors” in this prospectus and elsewhere in our Annual Report on Form 10-K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may be materially different from what we expect. We undertake no duty to update these forward-looking statements after the date of this prospectus, even though our situation may change in the future. We qualify all of our forward-looking statements by these cautionary statements.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m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selling stockholders’ sales of our common stock. However, at the time the shares of Series A Convertible Preferred Stock and the SPA Warrants were originally issued to the selling stockholders, we did receive payment for the purchase price for those securities. In addition, we received approximately $10.0 million in proceeds from the exercise of SPA Warrants covering 35,791,927 shares of common stock under the Consent and Amendment in March 2018, and approximately $0.8 million in proceeds from the exercise of the SPA Warrants under the SPA, which was used for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expenses of this offering, except that the selling stockholders will pay any underwriting discounts or commissions or equivalent expenses applicable to the sale of their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m_005"/>
      <w:bookmarkEnd w:id="6"/>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 issued or issuable to the selling stockholders upon the conversion of our Series A Convertible Preferred Stock, (ii) issued to the selling stockholders upon the exercise of the SPA Warrants. For additional information regarding the issuance of the Series A Convertible Preferred Stock and the common stock underlying the SPA Warrants, see “Prospectus Summary — Securities Being Offered” above. We are registering the shares of common stock in order to permit the selling stockholders to offer the shares for resale from time to time. Except as described in the next following paragraph, the selling stockholders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DAFNA Capital Management, LLC, is the investment manager and general partner of two of the Buyers in the Financing Transaction. David L. Fischel, who joined our Board of Directors in connection with the closing of the Financing Transaction and now serves as our Chief Executive Officer and Chairman of the Board, is a Principal of DAFNA Capital Management, LLC. Nathan Fischel, M.D., the father of David L. Fischel, is the Founder and Chief Executive Officer of DAFNA Capital Management, LLC and also serves on our Board of Directors. Two additional Buyers in the Financing Transaction, Joe Kiani and Arun S. Menawat, Ph.D., also joined our Board of Directors in connection with the closing of the Financing Transaction. Mr. Kiani resigned from our Board effective May 20, 2021.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their beneficial ownership (as determined under Section 13(d) of the Exchange Act, and the rules and regulations thereunder) of shares of our common stock. These rules generally provide that a person is the beneficial owner of securities if such person has or shares the power to vote or direct the voting thereof, or to dispose or direct the disposition thereof, or has the right to acquire such powers within 60 days. The second column lists the number of shares of common stock beneficially owned by the selling stockholders as of June 30, 2026 (without giving effect to any limitations on conversion or exercise with respect to the applicable securities), including shares representing dividends accruing on the Series A Convertible Preferred Stock within 60 days of June 30, 2026. The third column lists the shares of common stock being offered by this prospectus by the selling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 registration rights agreement with the holders of the Series A Convertible Preferred Stock and the SPA Warrants, this prospectus covers the offer, resale or other disposition of the sum of (i) 32,281,538 shares of common stock issued or issuable upon conversion of the Series A Convertible Preferred Stock, (ii) 40,285,200 additional shares of common stock issuable upon conversion of the Series A Convertible Preferred Stock as a result of the dividend accrual provisions in the Certificate of Designations, and (iii) shares of common stock currently issued following the exercise of the SPA Warrants, in the case of (i) and (ii), determined as if the outstanding Series A Convertible Preferred Stock were converted in full (without regard to any limitations on conversion contained in the Certificate of Designations for the Series A Convertible Preferred Stock). Because the conversion price of the Series A Convertible Preferred Stock will be adjusted as a result of dividend accrual, and because the conversion price of the Series A Convertible Preferred Stock and the exercise price of the SPA Warrants may be adjusted upon the occurrence of certain other events, the number of shares that will actually be issued may be more or less than the number of shares being offered by this prospectus. The fourth column assumes the sale of all of the shares offered by the selling stockholders pursuant to this prospectus. Percentage ownership is based on 97,934,076 shares of common stock outstanding as of June 30, 2026. The selling stockholders may sell all, some or none of their shares in this offering. See “Plan of Distribution.” This information is based upon our review of public filings, our stockholder, option holder and warrant holder registers and information furnished by the selling stockholders.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95"/>
        <w:gridCol w:w="60"/>
        <w:gridCol w:w="110"/>
        <w:gridCol w:w="2039"/>
        <w:gridCol w:w="60"/>
        <w:gridCol w:w="60"/>
        <w:gridCol w:w="114"/>
        <w:gridCol w:w="2328"/>
        <w:gridCol w:w="60"/>
        <w:gridCol w:w="60"/>
        <w:gridCol w:w="122"/>
        <w:gridCol w:w="1632"/>
        <w:gridCol w:w="122"/>
        <w:gridCol w:w="122"/>
        <w:gridCol w:w="315"/>
        <w:gridCol w:w="526"/>
        <w:gridCol w:w="80"/>
      </w:tblGrid>
      <w:tr>
        <w:trPr/>
        <w:tc>
          <w:tcPr>
            <w:tcW w:w="239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Address of Selling Stockholder</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Beneficially Owned Prior to the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Maximum Number of Shares Offered by This Prospectus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Beneficially Owned Subsequent to the Offering (1)(3)</w:t>
            </w:r>
          </w:p>
        </w:tc>
        <w:tc>
          <w:tcPr>
            <w:tcW w:w="80" w:type="dxa"/>
            <w:tcBorders/>
            <w:tcMar>
              <w:bottom w:w="0" w:type="dxa"/>
            </w:tcMar>
            <w:vAlign w:val="center"/>
          </w:tcPr>
          <w:p>
            <w:pPr>
              <w:pStyle w:val="TableContents"/>
              <w:bidi w:val="0"/>
              <w:spacing w:before="0" w:after="283"/>
              <w:jc w:val="left"/>
              <w:rPr/>
            </w:pPr>
            <w:r>
              <w:rPr/>
              <w:t> </w:t>
            </w:r>
          </w:p>
        </w:tc>
      </w:tr>
      <w:tr>
        <w:trPr/>
        <w:tc>
          <w:tcPr>
            <w:tcW w:w="2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2"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2"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84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80" w:type="dxa"/>
            <w:tcBorders/>
            <w:tcMar>
              <w:bottom w:w="0" w:type="dxa"/>
            </w:tcMar>
            <w:vAlign w:val="center"/>
          </w:tcPr>
          <w:p>
            <w:pPr>
              <w:pStyle w:val="TableContents"/>
              <w:bidi w:val="0"/>
              <w:spacing w:before="0" w:after="283"/>
              <w:jc w:val="left"/>
              <w:rPr/>
            </w:pPr>
            <w:r>
              <w:rPr/>
              <w:t> </w:t>
            </w:r>
          </w:p>
        </w:tc>
      </w:tr>
      <w:tr>
        <w:trPr/>
        <w:tc>
          <w:tcPr>
            <w:tcW w:w="2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4" w:type="dxa"/>
            <w:gridSpan w:val="2"/>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841" w:type="dxa"/>
            <w:gridSpan w:val="2"/>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DAFNA LifeScience LP (4)</w:t>
              <w:br/>
              <w:t xml:space="preserve">c/o DAFNA Capital Management, LLC </w:t>
              <w:br/>
              <w:t xml:space="preserve">10990 Wilshire Blvd, Suite 1400 </w:t>
              <w:br/>
              <w:t>Los Angeles, CA 90024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16,748,376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19,753,527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777,712</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DAFNA LifeScience Select LP (4)</w:t>
              <w:br/>
              <w:t>c/o DAFNA Capital Management, LLC</w:t>
              <w:br/>
              <w:t>10990 Wilshire Blvd, Suite 1400</w:t>
              <w:br/>
              <w:t>Los Angeles, CA 90024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16,565,814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19,753,527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595,150</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Fred A. Middleton </w:t>
              <w:br/>
              <w:t xml:space="preserve">400 S. El Camino Real, Suite 1200 </w:t>
              <w:br/>
              <w:t>San Mateo, CA 94402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Arun Menawat </w:t>
              <w:br/>
              <w:t>2412 Eighth Line Oakville,</w:t>
              <w:br/>
              <w:t>Ontario, Canada L6H659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260,000</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Dunwoody Partners, LP (5) </w:t>
              <w:br/>
              <w:t xml:space="preserve">3500 Lenox Rd., Suite 820 </w:t>
              <w:br/>
              <w:t>Atlanta, GA 30326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1,783,882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1,878,454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Gregory J. Cotter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JOHNWR, LLC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380,000</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Joe B. IV and Diana C. Hurley (5)</w:t>
              <w:br/>
              <w:t xml:space="preserve">c/o Piedmont Partners, L.P. </w:t>
              <w:br/>
              <w:t>3295 River Exchange Dr., Suite 400</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Mark &amp; Lori Rhodes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Michael &amp; April Loper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Rand Enterprises, LLC (5) </w:t>
              <w:br/>
              <w:t xml:space="preserve">c/o Piedmont Partners, L.P. </w:t>
              <w:br/>
              <w:t>3295 River Exchange Dr., Suite 400</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Ryan Christopher Smith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Steven J. Mudder (5) </w:t>
              <w:br/>
              <w:t>c/o Piedmont Partners, L.P.</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Steven Walker Smith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21,927</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Taylor Walker Smith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William H. Latimer III (5) </w:t>
              <w:br/>
              <w:t xml:space="preserve">c/o Piedmont Partners, L.P. </w:t>
              <w:br/>
              <w:t>3295 River Exchange Dr., Suite 400</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998,165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William Radford Aldridge (5) </w:t>
              <w:br/>
              <w:t xml:space="preserve">c/o Piedmont Partners, L.P. </w:t>
              <w:br/>
              <w:t xml:space="preserve">3295 River Exchange Dr., Suite 400 </w:t>
              <w:br/>
              <w:t>Peachtree Corners, GA 30092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William Vogel (5) </w:t>
              <w:br/>
              <w:t xml:space="preserve">c/o Piedmont Partners, L.P. </w:t>
              <w:br/>
              <w:t xml:space="preserve">3295 River Exchange Dr., Suite 400 </w:t>
              <w:br/>
              <w:t>Peachtree Corners, GA 30092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GLL Managed Account, LLC </w:t>
              <w:br/>
              <w:t xml:space="preserve">3200 North Lake Shore Dr., Suite 201 </w:t>
              <w:br/>
              <w:t>Chicago, IL 60657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6,668,489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8,982,275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Joseph Kiani 2007 Dynasty Trust, dated March 20, 2008 (6) </w:t>
              <w:br/>
              <w:t>121 Theory Irvine, CA 92617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15,970,664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19,753,527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Arbiter Partners QP LP (7) </w:t>
              <w:br/>
              <w:t xml:space="preserve">c/o Arbiter Partners Capital Management, LLC </w:t>
              <w:br/>
              <w:t xml:space="preserve">530 Fifth Ave., 20th Floor </w:t>
              <w:br/>
              <w:t>New York, NY 10036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11,977,998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14,815,145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Nana Associates LLC </w:t>
              <w:br/>
              <w:t xml:space="preserve">530 Fifth Ave., 20th Floor </w:t>
              <w:br/>
              <w:t>New York, NY 10017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4,938,382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2012 Revocable Trust of Andrew Redleaf (8) </w:t>
              <w:br/>
              <w:t xml:space="preserve">Attention: Andrew Redleaf Whitebox Advisors LLC </w:t>
              <w:br/>
              <w:t>3033 Excelsior Blvd., Suite 300</w:t>
              <w:br/>
              <w:t>Minneapolis, MN 55416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20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7,985,332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2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9,876,763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315"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Number of Shares Offered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203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23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108,868,331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632" w:type="dxa"/>
            <w:tcBorders/>
            <w:shd w:fill="FFFFFF" w:val="clear"/>
            <w:tcMar>
              <w:bottom w:w="0" w:type="dxa"/>
            </w:tcMar>
            <w:vAlign w:val="center"/>
          </w:tcPr>
          <w:p>
            <w:pPr>
              <w:pStyle w:val="TableContents"/>
              <w:bidi w:val="0"/>
              <w:spacing w:before="0" w:after="283"/>
              <w:jc w:val="righ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315"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ownership of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voting or investment power with respect to securities. Includes 100% of the shares of common stock issued or issuable upon conversion of the Series A Convertible Preferred Stock at the current conversion price, plus shares representing dividends accruing on the Series A Convertible Preferred Stock within 60 days of June 30, 2026. Certain selling stockholders also beneficially own additional shares of common stock which are included as beneficially owned both prior to and subsequent to the offering and are not offered pursuant to this prospectus.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Designations, a selling stockholder may not convert shares of Series A Convertible Preferred Stock if as a result of such conversion such selling stockholder, its affiliates and any other person whose beneficial ownership of shares of common stock would be aggregated with the selling stockholder’s for purposes of Section 13(d) of the Exchange Act, would beneficially own more than 4.99% of our common stock (or 9.99% if such selling stockholder has previously provided not less than 61 days’ prior notice to the Company of such increase). This ownership limitation was eliminated as to shares of common stock issued upon exercise of SPA Warrants during the Restricted Exercise Period. For purposes of the Selling Stockholder table, we have disregarded these limitations. Represents an aggregate of 72,722,177 shares of common stock issued or issuable upon conversion of the Series A Convertible Preferred Stock and 36,146,154 shares of common stock issued upon exercise of SPA Warrants.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for each stockholder the conversion in full of all shares of Series A Convertible Preferred Stock held by such stockholder and the sale of all shares offered hereby.</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 and a Schedule 13D filed on March 8, 2018 by DAFNA Capital Management, LLC, in its capacity as investment adviser and general partner to DAFNA LifeScience LP and DAFNA LifeScience Select LP (collectively, the “Funds”), each of which entities is a Delaware limited partnership. In such capacity, DAFNA Capital Management, LLC may be deemed to be the beneficial owner of the shares of our common stock owned by the Funds, as in its capacity as investment adviser and general partner it has the power to dispose, direct the disposition of, and vote our shares owned by the Funds. Drs. Nathan Fischel and Fariba Ghodsian are the Chief Executive Officer and the Chief Investment Officer of DAFNA Capital Management, LLC, respectively. As controlling persons of DAFNA Capital Management, they may be deemed to beneficially own the shares of our common stock owned by the Funds. Pursuant to Rule 13d-4, each of Drs. Fischel and Ghodsian disclaims beneficial ownership of the securities owned by the Funds, except to the extent of his or her pecuniary interest therein. This amount excludes an aggregate of 19,753,527 shares of common stock issuable upon conversion of Series A Convertible Preferred Stock. The conversion of the Series A Convertible Preferred Stock is restricted to the extent that, upon such conversion, the number of shares of common stock then beneficially owned by the holder of such securities and its affiliates would exceed 4.99% of our common stock then outstanding.</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 who joined our Board of Directors in connection with the closing of the Financing Transaction and now serves as our Chief Executive Officer and Chairman of the Board, is a Principal of DAFNA Capital Management, LLC. Dr. Fischel also serves on our Board of Directors. Excludes shares beneficially owned by Dr. Fischel and Mr. Fischel directly.</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information of each Fund included in the Selling Stockholder table does not include the ownership information for the other Funds.</w:t>
            </w:r>
          </w:p>
        </w:tc>
      </w:tr>
    </w:tbl>
    <w:p>
      <w:pPr>
        <w:pStyle w:val="TextBody"/>
        <w:bidi w:val="0"/>
        <w:spacing w:before="0" w:after="0"/>
        <w:ind w:left="0" w:right="0" w:hanging="0"/>
        <w:jc w:val="center"/>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60"/>
        <w:gridCol w:w="95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Piedmont Partners, L.P. distributed its shares of Series A Convertible Preferred Stock and SPA Warrants to its partners.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 filed by Joe Kiani on June 16, 2021, and the Company’s records. Mr. Kiani joined our Board of Directors in connection with the closing of the Financing Transaction and served until he resigned from our Board effective May 20, 2021. Excludes shares beneficially owned by Mr. Kiani directly.</w:t>
            </w:r>
          </w:p>
        </w:tc>
      </w:tr>
    </w:tbl>
    <w:p>
      <w:pPr>
        <w:pStyle w:val="TextBody"/>
        <w:bidi w:val="0"/>
        <w:spacing w:before="0" w:after="0"/>
        <w:ind w:left="0" w:right="0" w:hanging="0"/>
        <w:jc w:val="center"/>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260"/>
        <w:gridCol w:w="96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 and a Form 13F filed by Arbiter Partners Capital Management, LLC on May 12, 2026.</w:t>
            </w:r>
          </w:p>
        </w:tc>
      </w:tr>
    </w:tbl>
    <w:p>
      <w:pPr>
        <w:pStyle w:val="TextBody"/>
        <w:bidi w:val="0"/>
        <w:spacing w:before="0" w:after="0"/>
        <w:ind w:left="0" w:right="0" w:hanging="0"/>
        <w:jc w:val="center"/>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60"/>
        <w:gridCol w:w="27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records.</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m_006"/>
      <w:bookmarkEnd w:id="7"/>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on any national securities exchange or U.S. inter-dealer quotation system of a registered national securities association on which the shares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over-the-counter market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otherwise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imposed by the SPA, short-sales effected after the date the registration statement of which this Prospectus is a part is declared effective by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imposed by the SPA, 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securities or interests therein, subject to the restrictions imposed by the SPA,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reliance upon Rule 144 under the Securities Act, provided that they meet the criteria and conform to the requirements of that rule.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Rule 144 under the Securities Act or (2) the date on which all of the shares may be sold without restriction or condition pursuant to Rule 144 of the Securities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m_007"/>
      <w:bookmarkEnd w:id="8"/>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authorized to issue up to 310 million shares of capital stock, par value $0.001 per share, divided into two classes designated, respectively, “common stock” and “preferred stock.” Of such shares authorized, 300 million shares are designated as common stock, and 10 million shares are designated as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our capital stock and certain provisions of our amended and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“Where You Can Find Additional Information”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approximately 97,934,076 shares of common stock outstanding that were held of record by approximately 380 stockholders, although we believe that there is a significantly larger number of beneficial owners of our common stock. The holders of common stock are entitled to one vote for each share held of record on all matters submitted to a vote of the stockholders. Our stockholders do not have cumulative voting rights in the election of directors. Accordingly, holders of a majority of the shares voting are able to elect all of the directors. Subject to preferences that may be granted to any then outstanding preferred stock, holders of common stock are entitled to receive ratably only those dividends as may be declared by the board of directors out of funds legally available therefor, as well as any distributions to the stockholders. In the event of our liquidation, dissolution or winding up, holders of common stock are entitled to share ratably in all of our assets remaining after we pay our liabilities and distribute the liquidation preference of any then outstanding preferred stock. Holders of common stock have no preemptive or other subscription or conversion rights. There are no redemption or sinking fund provisions applicable to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Robocath acquisition, as permitted by the Share Sale Agreement, one of the Robocath securityholders elected to receive warrants (the “Purchaser Warrants”) in lieu of shares of our common stock otherwise issuable to them under the Share Sale Agreement, whether as upfront stock consideration or as earnout consideration. Each Purchaser Warrant entitles the holder thereof to acquire one share of our common stock at an exercise price equal to the par value of our common stock ($0.001 per share). The Purchaser Warrants are exercisable for cash or on a cashless basis. The Purchaser Warrants are exercisable at any time from the date of issuance until the fifth (5th) anniversary of the date of issuance. The number of Purchaser Warrants to be issued to the holder is determined on the same basis as the number of shares of our common stock that would otherwise have been issuable to such holder under the Share Sale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2016, we filed a Certificate of Designations, Preferences and Rights of Series A Convertible Preferred Stock (the “Certificate of Designations”) to authorize the Series A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Designations, holders of Series A Convertible Preferred Stock are entitled to vote on an as-converted basis with holders of common stock, subject to specified beneficial ownership issuance limitations. The Series A Convertible Preferred Stock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from and after the original date of issuance, at an initial conversion price of $0.65 per share, subject to adjustment in the event of stock splits, dividends, mergers, sales of all or substantially all of our assets or similar transactions, subject to specified beneficial ownership issuance limitations. If we fail to timely issue shares of Series A Convertible Preferred Stock or common stock issuable on conversion or remove legends from any such shares, in each case as and when required to do so under the Certificate of Designations, we will be required to pay liquidated damages to the affected holder in an amount equal to 0.25% of the product of (i) the number of shares of common stock to be issued or issuable on conversion of the relevant shares of Series A Convertible Preferred Stock and (ii) the weighted average price of the common stock on the last date before such failure, and may be required to pay additional or alternative damages in specified circumstances at the option of the holder. Each holder of Series A Convertible Preferred Stock has the right to require us to redeem such holder’s Series A Convertible Preferred Stock upon the occurrence of specified events, including mergers, sales of substantially all assets of the Company, and certain defaults under the Certificate of Designations and under the Registration Rights Agreement entered into in connection with the Financing Transaction. We also have the right to redeem the Series A Convertible Preferred Stock in the event of a Change of Control Transaction (as defined in the Certificate of Designations).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Preferred Stock ranks senior to our common stock as to distributions and payments upon the liquidation, dissolution and winding up of the Company. No such distributions or payments upon the liquidation, dissolution and winding up of the Company may be made to the holders of common stock unless and until the holders of Series A Convertible Preferred Stock have received the stated value of $1,000 per share plus any accrued and unpaid dividends. Until all shares of Series A Convertible Preferred Stock have been converted or redeemed, no dividends may be paid on the common stock without the prior express written consent of the holders of a majority of the outstanding Series A Convertible Preferred Stock. In the event that dividends or other distributions of assets are made or paid by us to the holders of the common stock, the holders of Series A Convertible Preferred Stock are entitled to participate in such dividend or distribution on an as-converted basis (without giving effect to any limitations on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of Delaware Law and Charter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Interested Stockholder Transactions</w:t>
      </w:r>
      <w:r>
        <w:rPr>
          <w:rFonts w:ascii="Times New Roman;Times;Serif" w:hAnsi="Times New Roman;Times;Serif"/>
          <w:b w:val="false"/>
          <w:i w:val="false"/>
          <w:caps w:val="false"/>
          <w:smallCaps w:val="false"/>
          <w:sz w:val="20"/>
        </w:rPr>
        <w:t>. 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“business combination” to include the following:</w:t>
      </w:r>
    </w:p>
    <w:p>
      <w:pPr>
        <w:pStyle w:val="TextBody"/>
        <w:bidi w:val="0"/>
        <w:spacing w:before="0" w:after="0"/>
        <w:ind w:left="0" w:right="0" w:firstLine="36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involving the interested stockholder of assets with a value of 10% or more of either the total assets or all outstanding stock of the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loans, advances, guarantees, pledges or other financial benefits by or through the corporation.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“interested stockholder” as an entity or person beneficially owning 15% or more of the outstanding voting stock of the corporation or any entity or person affiliated with or controlling or controlled by such entity or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provisions of our amended and restated certificate of incorporation and amended and restated bylaws may be deemed to have an anti-takeover effect and may delay or prevent a tender offer or takeover attempt that a stockholder might consider in its best interest, including those attempts that might result in a premium over the market price for the shares held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Our amended and restated certificate of incorporation expressly denies stockholders the right to cumulative voting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Classified Board of Directors</w:t>
      </w:r>
      <w:r>
        <w:rPr>
          <w:rFonts w:ascii="Times New Roman;Times;Serif" w:hAnsi="Times New Roman;Times;Serif"/>
          <w:b w:val="false"/>
          <w:i w:val="false"/>
          <w:caps w:val="false"/>
          <w:smallCaps w:val="false"/>
          <w:sz w:val="20"/>
        </w:rPr>
        <w:t>. Our board of directors is divided into three classes of directors serving staggered three-year terms. As a result, one-third of the board of directors is elected each year, which has the effect of requiring at least two annual stockholder meetings, instead of one, to replace a majority of the members of the board. These provisions, when coupled with the provision of our amended and restated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Action; Special Meeting of Stockholders</w:t>
      </w:r>
      <w:r>
        <w:rPr>
          <w:rFonts w:ascii="Times New Roman;Times;Serif" w:hAnsi="Times New Roman;Times;Serif"/>
          <w:b w:val="false"/>
          <w:i w:val="false"/>
          <w:caps w:val="false"/>
          <w:smallCaps w:val="false"/>
          <w:sz w:val="20"/>
        </w:rPr>
        <w:t>. Our amended and restated certificate of incorporation and bylaws do not permit stockholders to act by written consent. They provide that special meetings of our stockholders may be called only by the chairman of our board of directors, our chief executive officer or a majority of our directors. Further, our amended and restated certificate of incorporation provides that the stockholders may amend bylaws adopted by the board of directors or specified provisions of the certificate of incorporation by the affirmative vote of at least 66-2/3% of our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Directors Nominations</w:t>
      </w:r>
      <w:r>
        <w:rPr>
          <w:rFonts w:ascii="Times New Roman;Times;Serif" w:hAnsi="Times New Roman;Times;Serif"/>
          <w:b w:val="false"/>
          <w:i w:val="false"/>
          <w:caps w:val="false"/>
          <w:smallCaps w:val="false"/>
          <w:sz w:val="20"/>
        </w:rPr>
        <w:t>. Our amended and restated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more than 120 days or less than 90 days prior to the anniversary date of the immediately preceding annual meeting of stockholders. However, in the event that the annual meeting is called for a date that is not within 30 days before or after such anniversary date, notice by the stockholder in order to be timely must be received not later than the close of business on the 10th day following the date on which notice of the date of the annual meeting was mailed to stockholders or made public, whichever first occurs. Our amended and restated bylaws also specify requirements as to the form and content of a stockholder’s notice. These provisions may preclude stockholders from bringing matters before an annual meeting of stockholders or from nominating directors at an annual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Shares</w:t>
      </w:r>
      <w:r>
        <w:rPr>
          <w:rFonts w:ascii="Times New Roman;Times;Serif" w:hAnsi="Times New Roman;Times;Serif"/>
          <w:b w:val="false"/>
          <w:i w:val="false"/>
          <w:caps w:val="false"/>
          <w:smallCaps w:val="false"/>
          <w:sz w:val="20"/>
        </w:rPr>
        <w:t>.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Stereotaxis by means of a proxy contest, tender offer, merger or otherwise.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 Supermajority Vote Requirements</w:t>
      </w:r>
      <w:r>
        <w:rPr>
          <w:rFonts w:ascii="Times New Roman;Times;Serif" w:hAnsi="Times New Roman;Times;Serif"/>
          <w:b w:val="false"/>
          <w:i w:val="false"/>
          <w:caps w:val="false"/>
          <w:smallCaps w:val="false"/>
          <w:sz w:val="20"/>
        </w:rPr>
        <w:t>. The Delaware General Corporation Law provides generally that the affirmative vote of a majority of the shares entitled to vote on any matter is required to amend a corporation’s certificate of incorporation or bylaws, unless either a corporation’s certificate of incorporation or bylaws require a greater percentage. Our amended and restated certificate of incorporation imposes supermajority vote requirements of 66-2/3% of the voting power of our capital stock in connection with the amendment of certain provisions of our amended and restated certificate of incorporation and amended and restated bylaws, including those provisions relating to the classified board of directors, action by written consent and the ability of stockholders to call special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Broadridge Corporate Issuer Solutions, Inc. Its address is Broadridge Corporate Issuer Solutions, PO Box 1342, Brentwood, NY 11717-0718, and its telephone number is (855) 300-4994.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m_008"/>
      <w:bookmarkEnd w:id="9"/>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has been passed upon for us by Bryan Cave Leighton Paisner LLP, St. Louis, Missouri.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m_009"/>
      <w:bookmarkEnd w:id="10"/>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and schedule included in our Annual Report on Form 10-K for the year ended December 31, 2025,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m_010"/>
      <w:bookmarkEnd w:id="11"/>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http://www.sec.gov. The SEC’s website contains reports, proxy and information statements and other information regarding issuers, such as us, that file electronically with the SEC. You may also read and copy any document we file with the SEC at the SEC’s Public Reference Room at 100 F Street, N.E., Washington, D.C. 20549. You may also obtain copies of these documents at prescribed rates by writing to the SEC. Please call the SEC at 1-800-SEC-0330 for further information on the operation of its Public Reference Room.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that registers the distribution of these securities. The registration statement, including the attached exhibits and schedules, contains additional relevant information about us and the securities. This prospectus does not contain all of the information set forth in the registration statement. You can get a copy of the registration statement, at prescribed rates, from the SEC at the address listed above. The registration statement and the documents referred to below under “Incorporation of Certain Documents by Reference” are also available on our Internet website, http://www.stereotaxis.com, under “Investors—SEC Filings.” We have not incorporated by reference into this prospectus the information on our website, and you should not consider it to be a part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m_011"/>
      <w:bookmarkEnd w:id="12"/>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we can disclose important information to you by referring you to other documents that we filed separately with the SEC. You should consider the incorporated information as if we reproduced it in this prospectus, except for any information directly superseded by information subsequently filed with the SEC and incorporated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 (SEC File No. 001-36159), which contain important information about us and our business and financial results: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filed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12, 2026, as amended by </w:t>
            </w:r>
            <w:hyperlink r:id="rId4">
              <w:r>
                <w:rPr>
                  <w:rStyle w:val="InternetLink"/>
                  <w:rFonts w:ascii="Times New Roman;Times;Serif" w:hAnsi="Times New Roman;Times;Serif"/>
                  <w:b w:val="false"/>
                  <w:i w:val="false"/>
                  <w:caps w:val="false"/>
                  <w:smallCaps w:val="false"/>
                  <w:sz w:val="20"/>
                </w:rPr>
                <w:t>Amendment No. 1</w:t>
              </w:r>
            </w:hyperlink>
            <w:r>
              <w:rPr>
                <w:rFonts w:ascii="Times New Roman;Times;Serif" w:hAnsi="Times New Roman;Times;Serif"/>
                <w:b w:val="false"/>
                <w:i w:val="false"/>
                <w:caps w:val="false"/>
                <w:smallCaps w:val="false"/>
                <w:sz w:val="20"/>
              </w:rPr>
              <w:t xml:space="preserve"> filed on April 3, 2026;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Form 10-Q for the fiscal quarters ended March 31, 2026, filed with the SEC on </w:t>
            </w:r>
            <w:hyperlink r:id="rId5">
              <w:r>
                <w:rPr>
                  <w:rStyle w:val="InternetLink"/>
                  <w:rFonts w:ascii="Times New Roman;Times;Serif" w:hAnsi="Times New Roman;Times;Serif"/>
                  <w:b w:val="false"/>
                  <w:i w:val="false"/>
                  <w:caps w:val="false"/>
                  <w:smallCaps w:val="false"/>
                  <w:sz w:val="20"/>
                </w:rPr>
                <w:t>May 13, 2026</w:t>
              </w:r>
            </w:hyperlink>
            <w:r>
              <w:rPr>
                <w:rFonts w:ascii="Times New Roman;Times;Serif" w:hAnsi="Times New Roman;Times;Serif"/>
                <w:b w:val="false"/>
                <w:i w:val="false"/>
                <w:caps w:val="false"/>
                <w:smallCaps w:val="false"/>
                <w:sz w:val="20"/>
              </w:rPr>
              <w:t xml:space="preserve">, and June 30, 2026, filed with the SEC on </w:t>
            </w:r>
            <w:hyperlink r:id="rId6">
              <w:r>
                <w:rPr>
                  <w:rStyle w:val="InternetLink"/>
                  <w:rFonts w:ascii="Times New Roman;Times;Serif" w:hAnsi="Times New Roman;Times;Serif"/>
                  <w:b w:val="false"/>
                  <w:i w:val="false"/>
                  <w:caps w:val="false"/>
                  <w:smallCaps w:val="false"/>
                  <w:sz w:val="20"/>
                </w:rPr>
                <w:t>August 12, 2026</w:t>
              </w:r>
            </w:hyperlink>
            <w:r>
              <w:rPr>
                <w:rFonts w:ascii="Times New Roman;Times;Serif" w:hAnsi="Times New Roman;Times;Serif"/>
                <w:b w:val="false"/>
                <w:i w:val="false"/>
                <w:caps w:val="false"/>
                <w:smallCaps w:val="false"/>
                <w:sz w:val="20"/>
              </w:rPr>
              <w:t xml:space="preserve">;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information specifically incorporated by reference into our Annual Report on Form 10-K for the year ended December 31, 2025 from our </w:t>
            </w:r>
            <w:hyperlink r:id="rId7">
              <w:r>
                <w:rPr>
                  <w:rStyle w:val="InternetLink"/>
                  <w:rFonts w:ascii="Times New Roman;Times;Serif" w:hAnsi="Times New Roman;Times;Serif"/>
                  <w:b w:val="false"/>
                  <w:i w:val="false"/>
                  <w:caps w:val="false"/>
                  <w:smallCaps w:val="false"/>
                  <w:sz w:val="20"/>
                </w:rPr>
                <w:t>definitive Proxy Statement on Form 14A</w:t>
              </w:r>
            </w:hyperlink>
            <w:r>
              <w:rPr>
                <w:rFonts w:ascii="Times New Roman;Times;Serif" w:hAnsi="Times New Roman;Times;Serif"/>
                <w:b w:val="false"/>
                <w:i w:val="false"/>
                <w:caps w:val="false"/>
                <w:smallCaps w:val="false"/>
                <w:sz w:val="20"/>
              </w:rPr>
              <w:t>, filed with the SEC on April 3, 2026;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8">
              <w:r>
                <w:rPr>
                  <w:rStyle w:val="InternetLink"/>
                  <w:rFonts w:ascii="Times New Roman;Times;Serif" w:hAnsi="Times New Roman;Times;Serif"/>
                  <w:b w:val="false"/>
                  <w:i w:val="false"/>
                  <w:caps w:val="false"/>
                  <w:smallCaps w:val="false"/>
                  <w:sz w:val="20"/>
                </w:rPr>
                <w:t>April 15,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15, 2026</w:t>
              </w:r>
            </w:hyperlink>
            <w:r>
              <w:rPr>
                <w:rFonts w:ascii="Times New Roman;Times;Serif" w:hAnsi="Times New Roman;Times;Serif"/>
                <w:b w:val="false"/>
                <w:i w:val="false"/>
                <w:caps w:val="false"/>
                <w:smallCaps w:val="false"/>
                <w:sz w:val="20"/>
              </w:rPr>
              <w:t xml:space="preserve"> , </w:t>
            </w:r>
            <w:hyperlink r:id="rId10">
              <w:r>
                <w:rPr>
                  <w:rStyle w:val="InternetLink"/>
                  <w:rFonts w:ascii="Times New Roman;Times;Serif" w:hAnsi="Times New Roman;Times;Serif"/>
                  <w:b w:val="false"/>
                  <w:i w:val="false"/>
                  <w:caps w:val="false"/>
                  <w:smallCaps w:val="false"/>
                  <w:sz w:val="20"/>
                </w:rPr>
                <w:t>July 9,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July 16, 2026</w:t>
              </w:r>
            </w:hyperlink>
            <w:r>
              <w:rPr>
                <w:rFonts w:ascii="Times New Roman;Times;Serif" w:hAnsi="Times New Roman;Times;Serif"/>
                <w:b w:val="false"/>
                <w:i w:val="false"/>
                <w:caps w:val="false"/>
                <w:smallCaps w:val="false"/>
                <w:sz w:val="20"/>
              </w:rPr>
              <w:t>;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filed as </w:t>
            </w:r>
            <w:hyperlink r:id="rId12">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our Annual Report on Form 10-K for the fiscal year ended December 31, 2025, filed with the SEC on March 12, 2026 and any amendment or report filed with the SEC for the purpose of updating the description.</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incorporate by reference any additional filings made by us with the SEC under Section 13(a), 13(c), 14 or 15(d) of the Securities Exchange Act of 1934 (other than the portions of those made pursuant to Item 2.02 or Item 7.01 of Form 8-K or other information “furnished” to the SEC) </w:t>
      </w:r>
      <w:r>
        <w:rPr>
          <w:rFonts w:ascii="Times New Roman;Times;Serif" w:hAnsi="Times New Roman;Times;Serif"/>
          <w:b w:val="false"/>
          <w:i w:val="false"/>
          <w:caps w:val="false"/>
          <w:smallCaps w:val="false"/>
          <w:sz w:val="20"/>
          <w:shd w:fill="FFFFFF" w:val="clear"/>
        </w:rPr>
        <w:t>after the filing of the initial registration statement (including all such documents that we may file with the SEC after the date the registration statement was initially filed and prior to the effectiveness of the registration statement) and before the filing of a post-effective amendment to the registration statement of which this prospectus is a part that indicates that all securities offered hereunder have been sold or that deregisters all securities then remaining unsold (other than information furnished and not filed with the SEC)</w:t>
      </w:r>
      <w:r>
        <w:rPr>
          <w:rFonts w:ascii="Times New Roman;Times;Serif" w:hAnsi="Times New Roman;Times;Serif"/>
          <w:b w:val="false"/>
          <w:i w:val="false"/>
          <w:caps w:val="false"/>
          <w:smallCaps w:val="false"/>
          <w:sz w:val="20"/>
        </w:rPr>
        <w:t>.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registration statement of which this prospectus is a part, any statement contained in a document incorporated or deemed to be incorporated herein by reference shall be deemed to be modified or superseded to the extent that a statement contained herein or in any other subsequently filed document which also is or is deemed to be incorporated herein by reference modifies or supersedes such statement in such document. Any statement so modified or superseded shall not be deemed, except as so modified or superseded, to constitute a part of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get copies of any of the document incorporated by reference (excluding exhibits, unless the exhibits are specifically incorporated) at no charge to you by writing or calling the investor relations department at Stereotaxis, Inc., 710 North Tucker Boulevard, Suite 110, St. Louis, Missouri 63101, telephone (314) 678-6100.</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89340/000149315226009881/form10-k.htm" TargetMode="External"/><Relationship Id="rId4" Type="http://schemas.openxmlformats.org/officeDocument/2006/relationships/hyperlink" Target="https://www.sec.gov/Archives/edgar/data/1289340/000149315226015172/form10-ka.htm" TargetMode="External"/><Relationship Id="rId5" Type="http://schemas.openxmlformats.org/officeDocument/2006/relationships/hyperlink" Target="https://www.sec.gov/Archives/edgar/data/1289340/000149315226022697/form10-q.htm" TargetMode="External"/><Relationship Id="rId6" Type="http://schemas.openxmlformats.org/officeDocument/2006/relationships/hyperlink" Target="https://www.sec.gov/Archives/edgar/data/1289340/000149315226037357/form10-q.htm" TargetMode="External"/><Relationship Id="rId7" Type="http://schemas.openxmlformats.org/officeDocument/2006/relationships/hyperlink" Target="https://www.sec.gov/Archives/edgar/data/1289340/000149315226015027/formdef14a.htm" TargetMode="External"/><Relationship Id="rId8" Type="http://schemas.openxmlformats.org/officeDocument/2006/relationships/hyperlink" Target="https://www.sec.gov/Archives/edgar/data/1289340/000149315226016685/form8-k.htm" TargetMode="External"/><Relationship Id="rId9" Type="http://schemas.openxmlformats.org/officeDocument/2006/relationships/hyperlink" Target="https://www.sec.gov/Archives/edgar/data/1289340/000149315226023654/form8-k.htm" TargetMode="External"/><Relationship Id="rId10" Type="http://schemas.openxmlformats.org/officeDocument/2006/relationships/hyperlink" Target="https://www.sec.gov/Archives/edgar/data/1289340/000149315226032598/form8-k.htm" TargetMode="External"/><Relationship Id="rId11" Type="http://schemas.openxmlformats.org/officeDocument/2006/relationships/hyperlink" Target="https://www.sec.gov/Archives/edgar/data/1289340/000149315226033405/form8-k.htm" TargetMode="External"/><Relationship Id="rId12" Type="http://schemas.openxmlformats.org/officeDocument/2006/relationships/hyperlink" Target="https://www.sec.gov/Archives/edgar/data/1289340/000149315225010352/ex4-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14661</Words>
  <Characters>80379</Characters>
  <CharactersWithSpaces>95265</CharactersWithSpaces>
  <Paragraphs>1052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