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1" w:lineRule="exact"/>
        <w:rPr>
          <w:sz w:val="24"/>
          <w:szCs w:val="24"/>
          <w:color w:val="auto"/>
        </w:rPr>
      </w:pPr>
    </w:p>
    <w:p>
      <w:pPr>
        <w:ind w:left="660" w:right="1440" w:hanging="652"/>
        <w:spacing w:after="0" w:line="500"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001-36159</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STEREOTAXIS,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94-3120386</w:t>
            </w:r>
          </w:p>
        </w:tc>
      </w:tr>
      <w:tr>
        <w:trPr>
          <w:trHeight w:val="187"/>
        </w:trPr>
        <w:tc>
          <w:tcPr>
            <w:tcW w:w="5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710 North Tucker Boulevard, Suite 110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 Louis, MO 63101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678-6100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2"/>
        </w:trPr>
        <w:tc>
          <w:tcPr>
            <w:tcW w:w="4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240" w:type="dxa"/>
            <w:vAlign w:val="bottom"/>
          </w:tcPr>
          <w:p>
            <w:pPr>
              <w:spacing w:after="0"/>
              <w:rPr>
                <w:sz w:val="20"/>
                <w:szCs w:val="20"/>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STXS</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NYSE American LLC</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29"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“See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740" w:right="339" w:bottom="1440" w:gutter="0" w:footer="0" w:header="0"/>
        </w:sectPr>
      </w:pPr>
    </w:p>
    <w:p>
      <w:pPr>
        <w:spacing w:after="0" w:line="13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4">
            <w:col w:w="2780" w:space="720"/>
            <w:col w:w="1940" w:space="720"/>
            <w:col w:w="1860" w:space="720"/>
            <w:col w:w="2500"/>
          </w:cols>
          <w:pgMar w:left="320" w:top="740"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240"/>
          </w:cols>
          <w:pgMar w:left="320" w:top="740" w:right="339" w:bottom="1440" w:gutter="0" w:footer="0" w:header="0"/>
          <w:type w:val="continuous"/>
        </w:sectPr>
      </w:pPr>
    </w:p>
    <w:p>
      <w:pPr>
        <w:spacing w:after="0" w:line="190" w:lineRule="exact"/>
        <w:rPr>
          <w:sz w:val="24"/>
          <w:szCs w:val="24"/>
          <w:color w:val="auto"/>
        </w:rPr>
      </w:pPr>
    </w:p>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number of outstanding shares of the registrant’s common stock on April 30, 2026, was 97,736,700.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40" w:type="dxa"/>
            <w:vAlign w:val="bottom"/>
            <w:gridSpan w:val="4"/>
          </w:tcPr>
          <w:p>
            <w:pPr>
              <w:jc w:val="center"/>
              <w:ind w:right="3720"/>
              <w:spacing w:after="0"/>
              <w:rPr>
                <w:sz w:val="20"/>
                <w:szCs w:val="20"/>
                <w:color w:val="auto"/>
              </w:rPr>
            </w:pPr>
            <w:r>
              <w:rPr>
                <w:rFonts w:ascii="Times New Roman" w:cs="Times New Roman" w:eastAsia="Times New Roman" w:hAnsi="Times New Roman"/>
                <w:sz w:val="18"/>
                <w:szCs w:val="18"/>
                <w:b w:val="1"/>
                <w:bCs w:val="1"/>
                <w:color w:val="auto"/>
                <w:w w:val="98"/>
              </w:rPr>
              <w:t>STEREOTAXIS, INC.</w:t>
            </w:r>
          </w:p>
        </w:tc>
        <w:tc>
          <w:tcPr>
            <w:tcW w:w="64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40" w:type="dxa"/>
            <w:vAlign w:val="bottom"/>
            <w:gridSpan w:val="4"/>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64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0"/>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60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640" w:type="dxa"/>
            <w:vAlign w:val="bottom"/>
            <w:shd w:val="clear" w:color="auto" w:fill="CCEEFF"/>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338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Financial Statements (unaudited)</w:t>
            </w:r>
          </w:p>
        </w:tc>
        <w:tc>
          <w:tcPr>
            <w:tcW w:w="6240" w:type="dxa"/>
            <w:vAlign w:val="bottom"/>
            <w:tcBorders>
              <w:bottom w:val="single" w:sz="8" w:color="CCEEFF"/>
            </w:tcBorders>
            <w:gridSpan w:val="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176"/>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w:t>
            </w:r>
          </w:p>
        </w:tc>
        <w:tc>
          <w:tcPr>
            <w:tcW w:w="680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175"/>
        </w:trPr>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Convertible Preferred Stock and Stockholders’ Equity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176"/>
        </w:trPr>
        <w:tc>
          <w:tcPr>
            <w:tcW w:w="76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86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760" w:type="dxa"/>
            <w:vAlign w:val="bottom"/>
            <w:tcBorders>
              <w:top w:val="single" w:sz="8" w:color="CCEEFF"/>
            </w:tcBorders>
            <w:gridSpan w:val="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7-20</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1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21-27</w:t>
            </w: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6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106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 Other Information</w:t>
            </w:r>
          </w:p>
        </w:tc>
        <w:tc>
          <w:tcPr>
            <w:tcW w:w="640" w:type="dxa"/>
            <w:vAlign w:val="bottom"/>
            <w:shd w:val="clear" w:color="auto" w:fill="CCEEFF"/>
          </w:tcPr>
          <w:p>
            <w:pPr>
              <w:spacing w:after="0"/>
              <w:rPr>
                <w:sz w:val="17"/>
                <w:szCs w:val="17"/>
                <w:color w:val="auto"/>
              </w:rPr>
            </w:pPr>
          </w:p>
        </w:tc>
      </w:tr>
      <w:tr>
        <w:trPr>
          <w:trHeight w:val="216"/>
        </w:trPr>
        <w:tc>
          <w:tcPr>
            <w:tcW w:w="7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28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6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6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175"/>
        </w:trPr>
        <w:tc>
          <w:tcPr>
            <w:tcW w:w="980" w:type="dxa"/>
            <w:vAlign w:val="bottom"/>
            <w:tcBorders>
              <w:top w:val="single" w:sz="8" w:color="CCEEFF"/>
            </w:tcBorders>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280" w:type="dxa"/>
            <w:vAlign w:val="bottom"/>
            <w:tcBorders>
              <w:top w:val="single" w:sz="8" w:color="CCEEFF"/>
            </w:tcBorders>
            <w:gridSpan w:val="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6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620" w:type="dxa"/>
            <w:vAlign w:val="bottom"/>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62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158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31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r>
      <w:tr>
        <w:trPr>
          <w:trHeight w:val="196"/>
        </w:trPr>
        <w:tc>
          <w:tcPr>
            <w:tcW w:w="9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432"/>
        </w:trPr>
        <w:tc>
          <w:tcPr>
            <w:tcW w:w="7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5920" w:type="dxa"/>
            <w:vAlign w:val="bottom"/>
            <w:tcBorders>
              <w:top w:val="single" w:sz="8" w:color="CCEEFF"/>
              <w:bottom w:val="single" w:sz="8" w:color="auto"/>
            </w:tcBorders>
            <w:gridSpan w:val="15"/>
          </w:tcPr>
          <w:p>
            <w:pPr>
              <w:jc w:val="center"/>
              <w:ind w:left="3270"/>
              <w:spacing w:after="0"/>
              <w:rPr>
                <w:sz w:val="20"/>
                <w:szCs w:val="20"/>
                <w:color w:val="auto"/>
              </w:rPr>
            </w:pPr>
            <w:r>
              <w:rPr>
                <w:rFonts w:ascii="Times New Roman" w:cs="Times New Roman" w:eastAsia="Times New Roman" w:hAnsi="Times New Roman"/>
                <w:sz w:val="18"/>
                <w:szCs w:val="18"/>
                <w:color w:val="auto"/>
                <w:w w:val="88"/>
              </w:rPr>
              <w:t>2</w:t>
            </w:r>
          </w:p>
        </w:tc>
        <w:tc>
          <w:tcPr>
            <w:tcW w:w="540" w:type="dxa"/>
            <w:vAlign w:val="bottom"/>
            <w:tcBorders>
              <w:top w:val="single" w:sz="8" w:color="CCEEFF"/>
              <w:bottom w:val="single" w:sz="8" w:color="auto"/>
            </w:tcBorders>
          </w:tcPr>
          <w:p>
            <w:pPr>
              <w:spacing w:after="0"/>
              <w:rPr>
                <w:sz w:val="24"/>
                <w:szCs w:val="24"/>
                <w:color w:val="auto"/>
              </w:rPr>
            </w:pPr>
          </w:p>
        </w:tc>
        <w:tc>
          <w:tcPr>
            <w:tcW w:w="316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gridSpan w:val="5"/>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ITEM 1. CONSOLIDATED FINANCIAL STATEMENTS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6740" w:type="dxa"/>
            <w:vAlign w:val="bottom"/>
          </w:tcPr>
          <w:p>
            <w:pPr>
              <w:jc w:val="center"/>
              <w:ind w:left="4410"/>
              <w:spacing w:after="0"/>
              <w:rPr>
                <w:sz w:val="20"/>
                <w:szCs w:val="20"/>
                <w:color w:val="auto"/>
              </w:rPr>
            </w:pPr>
            <w:r>
              <w:rPr>
                <w:rFonts w:ascii="Times New Roman" w:cs="Times New Roman" w:eastAsia="Times New Roman" w:hAnsi="Times New Roman"/>
                <w:sz w:val="18"/>
                <w:szCs w:val="18"/>
                <w:b w:val="1"/>
                <w:bCs w:val="1"/>
                <w:color w:val="auto"/>
                <w:w w:val="98"/>
              </w:rPr>
              <w:t>STEREOTAXIS, INC.</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7260" w:type="dxa"/>
            <w:vAlign w:val="bottom"/>
            <w:gridSpan w:val="3"/>
          </w:tcPr>
          <w:p>
            <w:pPr>
              <w:jc w:val="center"/>
              <w:ind w:left="38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14,616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13,421</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$630 and $541 at 2026 and 2025, respectively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5,847</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Insurance receivable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10,495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8"/>
                <w:szCs w:val="18"/>
                <w:color w:val="auto"/>
              </w:rPr>
            </w:pPr>
          </w:p>
        </w:tc>
      </w:tr>
      <w:tr>
        <w:trPr>
          <w:trHeight w:val="210"/>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36,027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33,849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3,764</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6,193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6,429</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4,912</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and other non-current assets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shd w:val="clear" w:color="auto" w:fill="CCEEFF"/>
          </w:tcPr>
          <w:p>
            <w:pPr>
              <w:spacing w:after="0"/>
              <w:rPr>
                <w:sz w:val="18"/>
                <w:szCs w:val="18"/>
                <w:color w:val="auto"/>
              </w:rPr>
            </w:pPr>
          </w:p>
        </w:tc>
      </w:tr>
      <w:tr>
        <w:trPr>
          <w:trHeight w:val="249"/>
        </w:trPr>
        <w:tc>
          <w:tcPr>
            <w:tcW w:w="6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54,030</w:t>
            </w:r>
          </w:p>
        </w:tc>
        <w:tc>
          <w:tcPr>
            <w:tcW w:w="3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52,251</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4,823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4,768</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legal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4,316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4,316</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contingent consideration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18"/>
                <w:szCs w:val="18"/>
                <w:color w:val="auto"/>
              </w:rPr>
            </w:pPr>
          </w:p>
        </w:tc>
      </w:tr>
      <w:tr>
        <w:trPr>
          <w:trHeight w:val="209"/>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23,086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Long-term contingent consideration</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5,108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4,724</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4,618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tcPr>
          <w:p>
            <w:pPr>
              <w:spacing w:after="0"/>
              <w:rPr>
                <w:sz w:val="18"/>
                <w:szCs w:val="18"/>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 Convertible preferred stock:</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67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par value $0.001; 10,000,000 shares authorized;</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21,008 shares outstanding at 2026 and 2025</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5,240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5,240</w:t>
            </w:r>
          </w:p>
        </w:tc>
        <w:tc>
          <w:tcPr>
            <w:tcW w:w="80" w:type="dxa"/>
            <w:vAlign w:val="bottom"/>
          </w:tcPr>
          <w:p>
            <w:pPr>
              <w:spacing w:after="0"/>
              <w:rPr>
                <w:sz w:val="20"/>
                <w:szCs w:val="20"/>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$0.001; 300,000,000 shares authorized, 97,491,248 and</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95,339,628 shares issued at 2026 and 2025, respectively</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20"/>
                <w:szCs w:val="20"/>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603,696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596,960</w:t>
            </w:r>
          </w:p>
        </w:tc>
        <w:tc>
          <w:tcPr>
            <w:tcW w:w="8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Treasury stock, 4,015 shares at 2026 and 2025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(589,229)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(583,368)</w:t>
            </w:r>
          </w:p>
        </w:tc>
      </w:tr>
      <w:tr>
        <w:trPr>
          <w:trHeight w:val="209"/>
        </w:trPr>
        <w:tc>
          <w:tcPr>
            <w:tcW w:w="67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54,030</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5740" w:type="dxa"/>
            <w:vAlign w:val="bottom"/>
            <w:tcBorders>
              <w:bottom w:val="single" w:sz="8" w:color="CCEEFF"/>
            </w:tcBorders>
            <w:vMerge w:val="continue"/>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Systems</w:t>
            </w:r>
          </w:p>
        </w:tc>
        <w:tc>
          <w:tcPr>
            <w:tcW w:w="1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1,319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Disposables, service and accessories</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4,972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5,508</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Disposables, service and accessories</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1,693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1,741</w:t>
            </w:r>
          </w:p>
        </w:tc>
        <w:tc>
          <w:tcPr>
            <w:tcW w:w="0" w:type="dxa"/>
            <w:vAlign w:val="bottom"/>
          </w:tcPr>
          <w:p>
            <w:pPr>
              <w:spacing w:after="0"/>
              <w:rPr>
                <w:sz w:val="1"/>
                <w:szCs w:val="1"/>
                <w:color w:val="auto"/>
              </w:rPr>
            </w:pPr>
          </w:p>
        </w:tc>
      </w:tr>
      <w:tr>
        <w:trPr>
          <w:trHeight w:val="209"/>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w:t>
            </w:r>
          </w:p>
        </w:tc>
        <w:tc>
          <w:tcPr>
            <w:tcW w:w="1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4,064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2,397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3,148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4,495</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9"/>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Cumulative dividend on convertible preferred stock</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(0.06)</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6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(0.06)</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equivalents:</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98,891,179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87,769,366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98,891,179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87,769,366</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CONVERTIBLE PREFERRED STOCK AND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900" w:type="dxa"/>
            <w:vAlign w:val="bottom"/>
            <w:gridSpan w:val="12"/>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w:t>
            </w:r>
          </w:p>
        </w:tc>
        <w:tc>
          <w:tcPr>
            <w:tcW w:w="20" w:type="dxa"/>
            <w:vAlign w:val="bottom"/>
          </w:tcPr>
          <w:p>
            <w:pPr>
              <w:spacing w:after="0"/>
              <w:rPr>
                <w:sz w:val="18"/>
                <w:szCs w:val="18"/>
                <w:color w:val="auto"/>
              </w:rPr>
            </w:pPr>
          </w:p>
        </w:tc>
        <w:tc>
          <w:tcPr>
            <w:tcW w:w="1120" w:type="dxa"/>
            <w:vAlign w:val="bottom"/>
            <w:gridSpan w:val="5"/>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20" w:type="dxa"/>
            <w:vAlign w:val="bottom"/>
          </w:tcPr>
          <w:p>
            <w:pPr>
              <w:spacing w:after="0"/>
              <w:rPr>
                <w:sz w:val="20"/>
                <w:szCs w:val="20"/>
                <w:color w:val="auto"/>
              </w:rPr>
            </w:pPr>
          </w:p>
        </w:tc>
        <w:tc>
          <w:tcPr>
            <w:tcW w:w="1840" w:type="dxa"/>
            <w:vAlign w:val="bottom"/>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(Mezzanine)</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09"/>
        </w:trPr>
        <w:tc>
          <w:tcPr>
            <w:tcW w:w="27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3"/>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21,458</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85,326,557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567,926</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w w:val="81"/>
              </w:rPr>
              <w:t>(206)</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(561,725)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the exercise of</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4,103</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120,908</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2,535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2,535</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loss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(5,823)</w:t>
            </w:r>
          </w:p>
        </w:tc>
        <w:tc>
          <w:tcPr>
            <w:tcW w:w="1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14,054</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conversion</w:t>
            </w:r>
          </w:p>
        </w:tc>
        <w:tc>
          <w:tcPr>
            <w:tcW w:w="9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518,055</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21,233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5,296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85,983,677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570,548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(206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(567,548</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00" w:type="dxa"/>
            <w:vAlign w:val="bottom"/>
            <w:gridSpan w:val="12"/>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Convertible</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4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38"/>
        </w:trPr>
        <w:tc>
          <w:tcPr>
            <w:tcW w:w="27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w:t>
            </w:r>
          </w:p>
        </w:tc>
        <w:tc>
          <w:tcPr>
            <w:tcW w:w="20" w:type="dxa"/>
            <w:vAlign w:val="bottom"/>
          </w:tcPr>
          <w:p>
            <w:pPr>
              <w:spacing w:after="0"/>
              <w:rPr>
                <w:sz w:val="20"/>
                <w:szCs w:val="20"/>
                <w:color w:val="auto"/>
              </w:rPr>
            </w:pPr>
          </w:p>
        </w:tc>
        <w:tc>
          <w:tcPr>
            <w:tcW w:w="15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(Mezzanine)</w:t>
            </w:r>
          </w:p>
        </w:tc>
        <w:tc>
          <w:tcPr>
            <w:tcW w:w="260" w:type="dxa"/>
            <w:vAlign w:val="bottom"/>
          </w:tcPr>
          <w:p>
            <w:pPr>
              <w:spacing w:after="0"/>
              <w:rPr>
                <w:sz w:val="20"/>
                <w:szCs w:val="20"/>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20" w:type="dxa"/>
            <w:vAlign w:val="bottom"/>
          </w:tcPr>
          <w:p>
            <w:pPr>
              <w:spacing w:after="0"/>
              <w:rPr>
                <w:sz w:val="20"/>
                <w:szCs w:val="20"/>
                <w:color w:val="auto"/>
              </w:rPr>
            </w:pPr>
          </w:p>
        </w:tc>
        <w:tc>
          <w:tcPr>
            <w:tcW w:w="7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176"/>
        </w:trPr>
        <w:tc>
          <w:tcPr>
            <w:tcW w:w="27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15"/>
                <w:szCs w:val="15"/>
                <w:color w:val="auto"/>
              </w:rPr>
            </w:pPr>
          </w:p>
        </w:tc>
        <w:tc>
          <w:tcPr>
            <w:tcW w:w="920" w:type="dxa"/>
            <w:vAlign w:val="bottom"/>
            <w:gridSpan w:val="4"/>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5"/>
                <w:szCs w:val="15"/>
                <w:color w:val="auto"/>
              </w:rPr>
            </w:pPr>
          </w:p>
        </w:tc>
        <w:tc>
          <w:tcPr>
            <w:tcW w:w="92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5"/>
                <w:szCs w:val="15"/>
                <w:color w:val="auto"/>
              </w:rPr>
            </w:pPr>
          </w:p>
        </w:tc>
        <w:tc>
          <w:tcPr>
            <w:tcW w:w="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80" w:type="dxa"/>
            <w:vAlign w:val="bottom"/>
            <w:gridSpan w:val="3"/>
            <w:vMerge w:val="restart"/>
          </w:tcPr>
          <w:p>
            <w:pPr>
              <w:jc w:val="center"/>
              <w:ind w:right="101"/>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vMerge w:val="restart"/>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5"/>
                <w:szCs w:val="15"/>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36"/>
        </w:trPr>
        <w:tc>
          <w:tcPr>
            <w:tcW w:w="27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2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gridSpan w:val="4"/>
            <w:vMerge w:val="continue"/>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88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9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21,008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5,240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95,339,628</w:t>
            </w:r>
          </w:p>
        </w:tc>
        <w:tc>
          <w:tcPr>
            <w:tcW w:w="540" w:type="dxa"/>
            <w:vAlign w:val="bottom"/>
            <w:gridSpan w:val="2"/>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596,960</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(583,368)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13,481</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issued for the exercise of</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16,036</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115,000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198"/>
        </w:trPr>
        <w:tc>
          <w:tcPr>
            <w:tcW w:w="2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through</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at-the-market offering</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2,005,308</w:t>
            </w: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4,575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4,577</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loss</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(5,861)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15,276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21,008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5,240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97,491,248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603,696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w w:val="96"/>
              </w:rPr>
              <w:t>(206</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(589,229</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7"/>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70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(5,861)</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cash used in operating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Loss on revaluation of contingent consideration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756</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lease expense</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2,110</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(928)</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(1,481)</w:t>
            </w: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(599)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stock</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issuance costs</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1,195</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(1,747)</w:t>
            </w: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2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3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included in accounts payable</w:t>
            </w:r>
          </w:p>
        </w:tc>
        <w:tc>
          <w:tcPr>
            <w:tcW w:w="72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7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consolidated balance</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sheet as of March 31st:</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2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14,616</w:t>
            </w:r>
          </w:p>
        </w:tc>
        <w:tc>
          <w:tcPr>
            <w:tcW w:w="440" w:type="dxa"/>
            <w:vAlign w:val="bottom"/>
            <w:gridSpan w:val="2"/>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2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3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18" w:lineRule="auto"/>
        <w:rPr>
          <w:sz w:val="20"/>
          <w:szCs w:val="20"/>
          <w:color w:val="auto"/>
        </w:rPr>
      </w:pPr>
      <w:r>
        <w:rPr>
          <w:rFonts w:ascii="Times New Roman" w:cs="Times New Roman" w:eastAsia="Times New Roman" w:hAnsi="Times New Roman"/>
          <w:sz w:val="18"/>
          <w:szCs w:val="18"/>
          <w:color w:val="auto"/>
        </w:rPr>
        <w:t>In this report, “Stereotaxis”, the “Company”, “Registrant”, “we”, “us”, and “our” refer to Stereotaxis, Inc. and its wholly owned subsidiaries. GenesisX RMN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Genesis RMN</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Niobe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Navigant</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Synchrony™, SynX™, Odyssey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Odyssey Cinema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MAGiC™, MAGiC Sweep™, EMAGIN™, Map-</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iT™, QuikCAS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Cardiodrive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Vdrive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Vdrive Duo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V-CAS</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V-Loop</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V-Sono™, and NuVizion™ are trademarks of Stereotaxis, Inc. All other trademarks that appear in this report are the property of their respective owners.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 Description of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aspirations and a product strategy to expand the clinical focus of our technology to several additional endovascular indications including coronary, neuro, and peripheral interventions.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primary products include 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Systems, the </w:t>
      </w:r>
      <w:r>
        <w:rPr>
          <w:rFonts w:ascii="Times New Roman" w:cs="Times New Roman" w:eastAsia="Times New Roman" w:hAnsi="Times New Roman"/>
          <w:sz w:val="18"/>
          <w:szCs w:val="18"/>
          <w:i w:val="1"/>
          <w:iCs w:val="1"/>
          <w:color w:val="auto"/>
        </w:rPr>
        <w:t>Synchrony &amp; SynX</w:t>
      </w:r>
      <w:r>
        <w:rPr>
          <w:rFonts w:ascii="Times New Roman" w:cs="Times New Roman" w:eastAsia="Times New Roman" w:hAnsi="Times New Roman"/>
          <w:sz w:val="18"/>
          <w:szCs w:val="18"/>
          <w:color w:val="auto"/>
        </w:rPr>
        <w:t xml:space="preserve"> Solutions, various interventional devices under the </w:t>
      </w:r>
      <w:r>
        <w:rPr>
          <w:rFonts w:ascii="Times New Roman" w:cs="Times New Roman" w:eastAsia="Times New Roman" w:hAnsi="Times New Roman"/>
          <w:sz w:val="18"/>
          <w:szCs w:val="18"/>
          <w:i w:val="1"/>
          <w:iCs w:val="1"/>
          <w:color w:val="auto"/>
        </w:rPr>
        <w:t>Map-iT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EMAGIN</w:t>
      </w:r>
      <w:r>
        <w:rPr>
          <w:rFonts w:ascii="Times New Roman" w:cs="Times New Roman" w:eastAsia="Times New Roman" w:hAnsi="Times New Roman"/>
          <w:sz w:val="18"/>
          <w:szCs w:val="18"/>
          <w:color w:val="auto"/>
        </w:rPr>
        <w:t xml:space="preserve">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Systems are designed to enable physicians to complete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 the latest generation of 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System, is designed to enhance the accessibility of Robotic Magnetic Navigation by reducing the lengthy construction cycle necessary to install prior generation RMN systems.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Synchrony</w:t>
      </w:r>
      <w:r>
        <w:rPr>
          <w:rFonts w:ascii="Times New Roman" w:cs="Times New Roman" w:eastAsia="Times New Roman" w:hAnsi="Times New Roman"/>
          <w:sz w:val="18"/>
          <w:szCs w:val="18"/>
          <w:color w:val="auto"/>
        </w:rPr>
        <w:t xml:space="preserve">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w:t>
      </w:r>
      <w:r>
        <w:rPr>
          <w:rFonts w:ascii="Times New Roman" w:cs="Times New Roman" w:eastAsia="Times New Roman" w:hAnsi="Times New Roman"/>
          <w:sz w:val="18"/>
          <w:szCs w:val="18"/>
          <w:i w:val="1"/>
          <w:iCs w:val="1"/>
          <w:color w:val="auto"/>
        </w:rPr>
        <w:t>SynX</w:t>
      </w:r>
      <w:r>
        <w:rPr>
          <w:rFonts w:ascii="Times New Roman" w:cs="Times New Roman" w:eastAsia="Times New Roman" w:hAnsi="Times New Roman"/>
          <w:sz w:val="18"/>
          <w:szCs w:val="18"/>
          <w:color w:val="auto"/>
        </w:rPr>
        <w:t>, a cloud-based HIPAA and GDPR-compliant app that allows for secure remote connectivity, collaboration, recording, and monitoring of the cath lab.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technologies are sold alongside RMN systems and as stand-alone solutions.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pursue arrangements with fluoroscopy system manufacturers to provide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Systems in a bundled purchase offer for hospitals establishing robotic interventional operating rooms. An integrated x-ray system is critical for customer adoption of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Systems, and when offered as a bundled purchase with the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 it may reduce the cost of acquisition, the ongoing cost of ownership, and the complexity of installation of a robotic electrophysiology practice.</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7" w:name="page8"/>
    <w:bookmarkEnd w:id="7"/>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Not all products have and/or require regulatory clearance in all the markets we serve. Please see below for a description of the regulatory clearance, licensing, and/or approvals we currently have or are pursuing. Approval processes can be lengthy and uncertain, submissions may require revised or additional non-clinical and clinical data, and regulatory applications could be denied.</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received regulatory clearance, and/or approvals necessary for us to market the following products in the regions noted, and we are in the process of obtaining necessary approvals in other countries.</w:t>
      </w:r>
    </w:p>
    <w:p>
      <w:pPr>
        <w:spacing w:after="0" w:line="160" w:lineRule="exact"/>
        <w:rPr>
          <w:sz w:val="20"/>
          <w:szCs w:val="20"/>
          <w:color w:val="auto"/>
        </w:rPr>
      </w:pP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Genesis </w:t>
      </w:r>
      <w:r>
        <w:rPr>
          <w:rFonts w:ascii="Times New Roman" w:cs="Times New Roman" w:eastAsia="Times New Roman" w:hAnsi="Times New Roman"/>
          <w:sz w:val="18"/>
          <w:szCs w:val="18"/>
          <w:color w:val="auto"/>
        </w:rPr>
        <w:t>System with</w:t>
      </w:r>
      <w:r>
        <w:rPr>
          <w:rFonts w:ascii="Times New Roman" w:cs="Times New Roman" w:eastAsia="Times New Roman" w:hAnsi="Times New Roman"/>
          <w:sz w:val="18"/>
          <w:szCs w:val="18"/>
          <w:i w:val="1"/>
          <w:iCs w:val="1"/>
          <w:color w:val="auto"/>
        </w:rPr>
        <w:t xml:space="preserve"> Cardiodrive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iCONNECT, Navigant, Odyssey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QuikCAS </w:t>
      </w:r>
      <w:r>
        <w:rPr>
          <w:rFonts w:ascii="Times New Roman" w:cs="Times New Roman" w:eastAsia="Times New Roman" w:hAnsi="Times New Roman"/>
          <w:sz w:val="18"/>
          <w:szCs w:val="18"/>
          <w:color w:val="auto"/>
        </w:rPr>
        <w:t>in the U.S., Europe, and China,</w:t>
      </w:r>
    </w:p>
    <w:p>
      <w:pPr>
        <w:spacing w:after="0" w:line="29" w:lineRule="exact"/>
        <w:rPr>
          <w:rFonts w:ascii="Times New Roman" w:cs="Times New Roman" w:eastAsia="Times New Roman" w:hAnsi="Times New Roman"/>
          <w:sz w:val="18"/>
          <w:szCs w:val="18"/>
          <w:color w:val="auto"/>
        </w:rPr>
      </w:pPr>
    </w:p>
    <w:p>
      <w:pPr>
        <w:ind w:left="1020" w:hanging="32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GenesisX RMN </w:t>
      </w:r>
      <w:r>
        <w:rPr>
          <w:rFonts w:ascii="Times New Roman" w:cs="Times New Roman" w:eastAsia="Times New Roman" w:hAnsi="Times New Roman"/>
          <w:sz w:val="18"/>
          <w:szCs w:val="18"/>
          <w:color w:val="auto"/>
        </w:rPr>
        <w:t>System, the latest generation of the Genesis</w:t>
      </w:r>
      <w:r>
        <w:rPr>
          <w:rFonts w:ascii="Times New Roman" w:cs="Times New Roman" w:eastAsia="Times New Roman" w:hAnsi="Times New Roman"/>
          <w:sz w:val="18"/>
          <w:szCs w:val="18"/>
          <w:i w:val="1"/>
          <w:iCs w:val="1"/>
          <w:color w:val="auto"/>
        </w:rPr>
        <w:t xml:space="preserve"> RMN </w:t>
      </w:r>
      <w:r>
        <w:rPr>
          <w:rFonts w:ascii="Times New Roman" w:cs="Times New Roman" w:eastAsia="Times New Roman" w:hAnsi="Times New Roman"/>
          <w:sz w:val="18"/>
          <w:szCs w:val="18"/>
          <w:color w:val="auto"/>
        </w:rPr>
        <w:t>System in the U.S. and Europe, and we are in the process of obtaining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approvals in other countries.</w:t>
      </w: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SynX </w:t>
      </w:r>
      <w:r>
        <w:rPr>
          <w:rFonts w:ascii="Times New Roman" w:cs="Times New Roman" w:eastAsia="Times New Roman" w:hAnsi="Times New Roman"/>
          <w:sz w:val="18"/>
          <w:szCs w:val="18"/>
          <w:color w:val="auto"/>
        </w:rPr>
        <w:t>collaboration solution in the U.S. and Europe.</w:t>
      </w:r>
    </w:p>
    <w:p>
      <w:pPr>
        <w:spacing w:after="0" w:line="9"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Synchron</w:t>
      </w:r>
      <w:r>
        <w:rPr>
          <w:rFonts w:ascii="Times New Roman" w:cs="Times New Roman" w:eastAsia="Times New Roman" w:hAnsi="Times New Roman"/>
          <w:sz w:val="18"/>
          <w:szCs w:val="18"/>
          <w:color w:val="auto"/>
        </w:rPr>
        <w:t>y solution in the U.S. and Europe.</w:t>
      </w:r>
    </w:p>
    <w:p>
      <w:pPr>
        <w:spacing w:after="0" w:line="9" w:lineRule="exact"/>
        <w:rPr>
          <w:rFonts w:ascii="Times New Roman" w:cs="Times New Roman" w:eastAsia="Times New Roman" w:hAnsi="Times New Roman"/>
          <w:sz w:val="18"/>
          <w:szCs w:val="18"/>
          <w:color w:val="auto"/>
        </w:rPr>
      </w:pPr>
    </w:p>
    <w:p>
      <w:pPr>
        <w:ind w:left="1020" w:hanging="32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Niobe </w:t>
      </w:r>
      <w:r>
        <w:rPr>
          <w:rFonts w:ascii="Times New Roman" w:cs="Times New Roman" w:eastAsia="Times New Roman" w:hAnsi="Times New Roman"/>
          <w:sz w:val="18"/>
          <w:szCs w:val="18"/>
          <w:color w:val="auto"/>
        </w:rPr>
        <w:t>System with</w:t>
      </w:r>
      <w:r>
        <w:rPr>
          <w:rFonts w:ascii="Times New Roman" w:cs="Times New Roman" w:eastAsia="Times New Roman" w:hAnsi="Times New Roman"/>
          <w:sz w:val="18"/>
          <w:szCs w:val="18"/>
          <w:i w:val="1"/>
          <w:iCs w:val="1"/>
          <w:color w:val="auto"/>
        </w:rPr>
        <w:t xml:space="preserve"> Cardiodrive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e-Contact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Navigant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Odyssey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QuikCAS </w:t>
      </w:r>
      <w:r>
        <w:rPr>
          <w:rFonts w:ascii="Times New Roman" w:cs="Times New Roman" w:eastAsia="Times New Roman" w:hAnsi="Times New Roman"/>
          <w:sz w:val="18"/>
          <w:szCs w:val="18"/>
          <w:color w:val="auto"/>
        </w:rPr>
        <w:t>in the U.S., Europe, Canada, China, Japan, and various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countries.</w:t>
      </w: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Vdrive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Vdrive Duo </w:t>
      </w:r>
      <w:r>
        <w:rPr>
          <w:rFonts w:ascii="Times New Roman" w:cs="Times New Roman" w:eastAsia="Times New Roman" w:hAnsi="Times New Roman"/>
          <w:sz w:val="18"/>
          <w:szCs w:val="18"/>
          <w:color w:val="auto"/>
        </w:rPr>
        <w:t>Systems with the</w:t>
      </w:r>
      <w:r>
        <w:rPr>
          <w:rFonts w:ascii="Times New Roman" w:cs="Times New Roman" w:eastAsia="Times New Roman" w:hAnsi="Times New Roman"/>
          <w:sz w:val="18"/>
          <w:szCs w:val="18"/>
          <w:i w:val="1"/>
          <w:iCs w:val="1"/>
          <w:color w:val="auto"/>
        </w:rPr>
        <w:t xml:space="preserve"> V-CAS </w:t>
      </w:r>
      <w:r>
        <w:rPr>
          <w:rFonts w:ascii="Times New Roman" w:cs="Times New Roman" w:eastAsia="Times New Roman" w:hAnsi="Times New Roman"/>
          <w:sz w:val="18"/>
          <w:szCs w:val="18"/>
          <w:color w:val="auto"/>
        </w:rPr>
        <w:t>in the U.S., Europe, and Canada.</w:t>
      </w:r>
    </w:p>
    <w:p>
      <w:pPr>
        <w:spacing w:after="0" w:line="9" w:lineRule="exact"/>
        <w:rPr>
          <w:rFonts w:ascii="Times New Roman" w:cs="Times New Roman" w:eastAsia="Times New Roman" w:hAnsi="Times New Roman"/>
          <w:sz w:val="18"/>
          <w:szCs w:val="18"/>
          <w:color w:val="auto"/>
        </w:rPr>
      </w:pPr>
    </w:p>
    <w:p>
      <w:pPr>
        <w:ind w:left="1020" w:hanging="324"/>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MAGiC </w:t>
      </w:r>
      <w:r>
        <w:rPr>
          <w:rFonts w:ascii="Times New Roman" w:cs="Times New Roman" w:eastAsia="Times New Roman" w:hAnsi="Times New Roman"/>
          <w:sz w:val="18"/>
          <w:szCs w:val="18"/>
          <w:color w:val="auto"/>
        </w:rPr>
        <w:t>catheter, a robotically navigated magnetic ablation catheter designed to perform minimally invasive cardiac ablation procedures,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U.S. and Europe.</w:t>
      </w: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Map-iT </w:t>
      </w:r>
      <w:r>
        <w:rPr>
          <w:rFonts w:ascii="Times New Roman" w:cs="Times New Roman" w:eastAsia="Times New Roman" w:hAnsi="Times New Roman"/>
          <w:sz w:val="18"/>
          <w:szCs w:val="18"/>
          <w:color w:val="auto"/>
        </w:rPr>
        <w:t>diagnostic mapping catheters in the U.S. and Europe.</w:t>
      </w:r>
    </w:p>
    <w:p>
      <w:pPr>
        <w:spacing w:after="0" w:line="9" w:lineRule="exact"/>
        <w:rPr>
          <w:rFonts w:ascii="Times New Roman" w:cs="Times New Roman" w:eastAsia="Times New Roman" w:hAnsi="Times New Roman"/>
          <w:sz w:val="18"/>
          <w:szCs w:val="18"/>
          <w:color w:val="auto"/>
        </w:rPr>
      </w:pPr>
    </w:p>
    <w:p>
      <w:pPr>
        <w:ind w:left="1020" w:hanging="32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MAGiC Sweep™ </w:t>
      </w:r>
      <w:r>
        <w:rPr>
          <w:rFonts w:ascii="Times New Roman" w:cs="Times New Roman" w:eastAsia="Times New Roman" w:hAnsi="Times New Roman"/>
          <w:sz w:val="18"/>
          <w:szCs w:val="18"/>
          <w:color w:val="auto"/>
        </w:rPr>
        <w:t>catheter, the first robotically navigated high-density EP mapping catheter, received FDA 510(k) clearance in July 2025.</w:t>
      </w:r>
    </w:p>
    <w:p>
      <w:pPr>
        <w:spacing w:after="0" w:line="205"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color w:val="auto"/>
        </w:rPr>
        <w:t xml:space="preserve">We are also currently seeking regulatory clearances for the </w:t>
      </w:r>
      <w:r>
        <w:rPr>
          <w:rFonts w:ascii="Times New Roman" w:cs="Times New Roman" w:eastAsia="Times New Roman" w:hAnsi="Times New Roman"/>
          <w:sz w:val="18"/>
          <w:szCs w:val="18"/>
          <w:i w:val="1"/>
          <w:iCs w:val="1"/>
          <w:color w:val="auto"/>
        </w:rPr>
        <w:t>EMAGIN</w:t>
      </w:r>
      <w:r>
        <w:rPr>
          <w:rFonts w:ascii="Times New Roman" w:cs="Times New Roman" w:eastAsia="Times New Roman" w:hAnsi="Times New Roman"/>
          <w:sz w:val="18"/>
          <w:szCs w:val="18"/>
          <w:color w:val="auto"/>
        </w:rPr>
        <w:t xml:space="preserve"> 5F catheter guide designed to robotically navigate tortuous venous and arterial vasculature.</w:t>
      </w:r>
    </w:p>
    <w:p>
      <w:pPr>
        <w:spacing w:after="0" w:line="16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strategic relationships with technology leaders and innovators in the global interventional market. Through these strategic relationships we provide compatibility with our robotic magnetic navigation system,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Prior to regulatory clearance of a replacement device, the robotically enabled ablation catheters predominantly used with our RMN Systems were co-developed with Biosense Webster, a wholly owned subsidiary of Johnson and Johnson (the “J&amp;J catheters”). The J&amp;J catheters were solely manufactured and distributed by them and their obligation to supply those catheters ended on December 31, 2025. We do not know their plans for the continuation of the J&amp;J catheters, and we have no guarantees that supply of those catheters will continue into 2026. The replacement device for the J&amp;J catheters, the Stereotaxis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catheter, a robotically navigated magnetic ablation catheter designed to perform minimally invasive cardiac ablation procedures, obtained the CE marking in Europe during the first quarter of 2025 and U.S. Food and Drug Administration (FDA) 510(k) clearance in January 2026. Although we are ramping up production of the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ablation catheter, continued supply of the J&amp;J catheters into 2026 remains of significant importance for many customers of our technology.</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On April 14, 2026, the Company entered into an agreement to acquire Robocath, a venture-backed innovator of advanced mechanical robotic technology for interventional cardiology and neurointerventions headquartered in Rouen, France. See Note 12,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more details about this proposed acquisition.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Summary of Significant Accounting Policies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Stereotaxis, Inc. have been prepared in accordance with U.S. generally accepted accounting principles (“GAAP”) for interim financial information and the instructions to Form 10-Q. Accordingly, they do not include all the disclosures required by GAAP for complete consolidated financial statements. In the opinion of management, they include all adjustments, consisting only of normal recurring adjustments, necessary for a fair presentation of the results for the interim periods presented. Operating results for the three-month period ended March 31, 2026, are not necessarily indicative of the results that may be expected for the year ending December 31, 2026, or for future operating periods.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interim consolidated financial statements and the related notes should be read in conjunction with the annual consolidated financial statements and notes included in the Company’s Annual Report on Form 10-K for the year ended December 31, 2025, as filed with the Securities and Exchange Commission (SEC) on March 12,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Future results of operations and liquidity could be materially adversely impacted by uncertainties in macroeconomic and geopolitical factors in both the U.S. and globally including continuing introduction of new or modification of existing tariffs or trade barriers, supply chain challenges, inflationary pressures, elevated interest rates, and disruptions in commodity markets stemming from conflicts, such as those between Russia and Ukraine and conflicts in the Middle East, including Israel and Iran. The Company continues to experience difficulties with periodic worldwide supply chain disruptions, including shortages and inflationary pressures, tariffs and other trade regulations that are or may be imposed, and logistics delays which make it difficult for us to source parts and ship our products.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particular, recent tariff changes imposed by the U.S. and other countries have created increased risks and uncertainties surrounding the Company’s future results of operations. The U.S. import tariffs, along with any reciprocal measures by other countries, may increase the Company’s cost of raw materials and finished goods imported from outside of the U.S. Additionally, the Company anticipates that some of its suppliers will incur incremental tariff-related costs, which may be passed on to the Company. The ultimate impact of changes to tariffs or trade barriers will depend on various factors, including the timing, amount, scope, and nature of any tariffs or trade barriers that are implemented.</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continue to evaluate the macroeconomic business environment, taking action to increase inventory levels where appropriate and engaging in discussions with our vendors on contractual obligations, but we cannot guarantee that our business activities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government shutdowns, tariff escalation, retaliatory measures and new import restrictions could lead to higher inflation than previously experienced or expected, which could, in turn create supply shortages as companies seek alternative sources of supply and adjust their logistics and transportation routes. As a result of these factors, we may be unable to raise the prices of our products sufficiently to keep up with the rate of inflation, especially tariff-induced inflation. A material reduction or interruption in any of our manufacturing processes or a substantial increase in costs would have a material adverse effect on our business, operating results, and financial condition.</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hospital customers, for whom the purchase of our system involves a significant capital purchase which may be part of a larger construction project at the customer site (typically the construction of a new building), may themselves be under similar pressures. Hospitals continue to experience challenges with staffing and cost pressures as supply chain constraints and inflation drive up operating costs. Hospitals may also be adversely affected by the liquidity concerns driven by elevated interest rates and the broader macroeconomic environment. These factors could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 Delays in order placement, cancellation of existing orders and reduced demand or availability of our disposable products all would have a material adverse effect on our business, financial condition, and results of operations.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disruption to the capital markets could negatively impact our ability to raise capital. If the capital markets are disrupted for an extended period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 installations, service contracts and disposable products.</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macroeconomic factors, occurrences similar to the COVID-19 pandemic may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non-pandemic areas, leading to the performance of fewer procedures in which our disposable products are used. The impact varied widely over time by individual geography. For instance, in 2022, procedure volumes were challenged by periodic resurgences of COVID-19, ongoing hospital staffing issues and other factors. In the first quarter of 2023, COVID-19 resurgences in China continued to negatively impact our procedure volumes in that region, but as infections and hospitalization decreased, we saw a recovery of procedure volumes with no further impacts in the year. Significant decreases to our capital or recurring revenues could have a material adverse effect on our business, operating results, and financial condition. We continue to anticipate periodic disruptions to our manufacturing operations, supply chains, procedures volumes, service activities, and capital system orders and placements relating to new or ongoing periodic resurgences of pandemic-related issues, any of which could have a material adverse effect on our business, financial condition, results of operations, or cash flows.</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generated significant losses. As of March 31, 2026, we have incurred cumulative net losses of approximately $589.2 million. In 2026, the Company plans to advance adoption of its robotic magnetic navigation systems and its proprietary devices in those markets where regulatory clearance has been received and to work with regulatory approval authorities in those geographies where approval is pending, with the goal of furthering clinical adoption and new system placements. We expect to incur additional losses in 2026 as we continue the development and commercialization of our products, conduct our research and development activities, advance new products into clinical development from our existing research programs and fund additional sales and marketing initiatives. During the remainder of 2026, we will continue to monitor the impact of the macroeconomic environment on our project timing, regulatory approvals, customer and supplier operations, and our operating results. Until we can generate significant cash flow from our operations, we expect to continue to fund our operations with cash resources primarily generated from the proceeds of our past and future public offerings, and private sales of our equity securities. We cannot accurately predict the timing and amount of our utilization of capital, which will depend on several factors outside of our control.</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122" w:gutter="0" w:footer="0" w:header="0"/>
        </w:sectPr>
      </w:pPr>
    </w:p>
    <w:bookmarkStart w:id="9" w:name="page10"/>
    <w:bookmarkEnd w:id="9"/>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we believe our existing cash and cash equivalents, including the proceeds from our at-the-market offering program and July 2025 equity raise, will be sufficient to fund our operating expenses and capital equipment requirements, in light of the macroeconomic environment, we cannot guarantee that we will not need additional funding in the future. We will continue to explore financing alternatives, and we cannot guarantee that additional financing will be available on acceptable terms or that such financing will not be dilutive to our stockholders. If adequate funds are not available to us, we could be required to delay development or commercialization of new products, to license to third parties the rights to commercialize products or technologies that we would otherwise seek to commercialize ourselves, or to reduce the sales, marketing, customer support or other resources devoted to our products, any of which could have a material adverse effect on our business, financial condition, and operational results. As a result, we could be required to cease operations.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April 14, 2026, the Company entered into an agreement to acquire Robocath, a venture-backed innovator of advanced mechanical robotic technology for interventional cardiology and neurointerventions headquartered in Rouen, France. The acquisition is subject to risks and uncertainties, the potential timing of the consummation of the proposed acquisition and the ability of the parties to consummate the proposed transaction; the satisfaction of the conditions precedent to consummation of the proposed transaction, any litigation related to the proposed transaction; disruption of Robocath’s or Stereotaxis’s current plans and operations as a result of the proposed transaction; the ability of Robocath or Stereotaxis to retain and hire key personnel; competitive responses to the proposed transaction; unexpected costs, charges or expenses resulting from the proposed transaction; the ability of Stereotaxis to successfully integrate Robocath’s operations, and continue the commercialization, development and sales of Robocath’s products and services; the ability of Stereotaxis to implement its plans, forecasts and other expectations with respect to Robocath’s business after the completion of the proposed transaction and realize additional opportunities for growth and innovation; the ability of Stereotaxis to realize the anticipated benefits from the proposed transaction in the anticipated amounts or within the anticipated timeframes or at all; the ability to maintain relationships with Stereotaxis’s and Robocath’s respective employees, customers, other business partners and governmental authorities See Note 12,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for additional details about this proposed acquisition.</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cash on hand, money market instruments, and other highly liquid investments with original maturities of three months or less from the date of purchase.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Restricted cash primarily consists of cash that the Company is obligated to maintain in accordance with contractual obligations. The Company did not have any restricted cash as of March 31, 2026, and December 31,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investments may include, at any time, a diversified portfolio of cash equivalents and short-term and long-term investments in a variety of high-quality securities, including money market funds, U.S. treasury and U.S. government agency securities, corporate notes and bonds, commercial paper, non-U.S. government agency securities, and municipal notes. As of March 31, 2026, and December 31, 2025, the Company had no short-term investments.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Amortized cost of U.S. treasury securities and marketable debt securities are based on the Company’s purchase price adjusted for accrual of discount, or amortization of premium, and recognition of impairment charges, if any. The amortized cost of securities the Company purchases at a discount or premium will equal the face or par value at maturity or the call date, if applicable. Stated interest on investments is reported as income when earned and is adjusted for amortization or accretion of any premium or discount. Accrued interest receivable on money market instruments, included in other current assets, was less than $0.1 million as of March 31, 2026, and December 31, 2025.</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segments its portfolio based on the underlying risk profiles of the securities and has a zero-loss expectation for U.S. treasury and U.S. government agency securities. The Company regularly reviews the securities using the probability of default method and analyzes the unrealized loss positions and evaluates the current expected credit loss by considering factors such as credit ratings, issuer-specific factors, current economic conditions, and reasonable and supportable forecasts. The Company did not have any material expected credit losses on investments or material expected credit losses on accrued interest related to investments during the three months ended March 31, 2026, or year ended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instruments consist of cash and cash equivalents, restricted cash, investments, accounts receivable, and accounts payable.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General accounting principles for fair value measurement establishes a fair value hierarchy that prioritizes the inputs to valuation techniques used to measure fair value. The hierarchy gives the highest priority to unadjusted quoted prices in active markets for identical assets and liabilities (“Level 1”) and the lowest priority to unobservable inputs (“Level 3”). The three levels of the fair value hierarchy are described below:</w:t>
      </w:r>
    </w:p>
    <w:p>
      <w:pPr>
        <w:spacing w:after="0" w:line="180" w:lineRule="exact"/>
        <w:rPr>
          <w:sz w:val="20"/>
          <w:szCs w:val="20"/>
          <w:color w:val="auto"/>
        </w:rPr>
      </w:pPr>
    </w:p>
    <w:p>
      <w:pPr>
        <w:jc w:val="both"/>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1:</w:t>
        <w:tab/>
        <w:t>Values are based on unadjusted quoted prices in active markets that are accessible at the measurement date for identical, unrestricted assets or liabilities.</w:t>
      </w:r>
    </w:p>
    <w:p>
      <w:pPr>
        <w:spacing w:after="0" w:line="162" w:lineRule="exact"/>
        <w:rPr>
          <w:sz w:val="20"/>
          <w:szCs w:val="20"/>
          <w:color w:val="auto"/>
        </w:rPr>
      </w:pPr>
    </w:p>
    <w:p>
      <w:pPr>
        <w:jc w:val="both"/>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Level 2:</w:t>
        <w:tab/>
        <w:t>Values are based on quoted prices for similar instruments in active markets, quoted prices for identical or similar instruments in markets that are not active, or other model-based valuation techniques for which all significant assumptions are observable in the market.</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7"/>
          <w:szCs w:val="17"/>
          <w:color w:val="auto"/>
        </w:rPr>
        <w:t>Values are generated from model-based techniques that use significant assumptions not observable in the market.</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financial assets classified as Level 2 consisted of money market funds. The Company reviews trading activity and pricing for these investments as of the measurement date. When sufficient quoted pricing for identical securities is not available, the Company uses market pricing and other observable market inputs for similar securities. These inputs either represent quoted prices for similar assets in active markets or have been derived from observable market data. This approach results in the Level 2 classification of these securities within the fair value hierarchy.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and December 31, 2025, financial liabilities classified as Level 3 consisted of the contingent consideration due to the APT acquisition. The Company reviews the change in the fair value of contingent consideration, which is performed by a third-party valuation firm. See </w:t>
      </w:r>
      <w:r>
        <w:rPr>
          <w:rFonts w:ascii="Times New Roman" w:cs="Times New Roman" w:eastAsia="Times New Roman" w:hAnsi="Times New Roman"/>
          <w:sz w:val="18"/>
          <w:szCs w:val="18"/>
          <w:i w:val="1"/>
          <w:iCs w:val="1"/>
          <w:color w:val="auto"/>
        </w:rPr>
        <w:t xml:space="preserve">Contingent Liabilities- Earnout Consideration </w:t>
      </w:r>
      <w:r>
        <w:rPr>
          <w:rFonts w:ascii="Times New Roman" w:cs="Times New Roman" w:eastAsia="Times New Roman" w:hAnsi="Times New Roman"/>
          <w:sz w:val="18"/>
          <w:szCs w:val="18"/>
          <w:color w:val="auto"/>
        </w:rPr>
        <w:t>section below for further information regarding the valuation methods used by the third-party valuation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approach results in the Level 3 classification of the contingent consideration within the fair value hierarchy.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Contract Assets, and Allowance for Credit Losses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Accounts receivable primarily include amounts due from hospitals and distributors for acquisition of robotic magnetic navigation systems, associated disposable device sales and service contracts, net of allowances for expected credit losses. Credit is granted on a limited basis, with balances due generally within 30 days of billing. Contract assets primarily represent the difference between the revenue that was earned but not billed on service contracts and revenue from system contracts that was recognized based on the relative selling price of the related performance obligations and the contractual billing terms in the arrangements. The Company reports accounts receivable and contract assets net of an allowance for expected credit losses in accordance with Accounting Standards Codification Topic 326, Financial Instruments – Credit Losses (“ASC 326”). The provision for credit loss is based upon management’s assessment of historical and expected net collections considering business and economic conditions and other collection indicators. We assess collectability by reviewing the accounts receivable aging schedule on an aggregated basis where similar characteristics exist and on an individual basis when we identify specific customers with known disputes or collectability issues. Amounts deemed uncollectible are recorded as an allowance for expected credit losses.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and Costs of Revenue</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revenue in accordance with Accounting Standards Codification Topic 606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if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color w:val="auto"/>
        </w:rPr>
        <w:t>Our revenue recognition policy affects the following revenue streams in our business as follows: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Systems:</w:t>
      </w:r>
    </w:p>
    <w:p>
      <w:pPr>
        <w:spacing w:after="0" w:line="22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Contracts related to the sale of systems typically contain separate obligations for the delivery of system(s), installation, and a service-type warranty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service-type warranties is included in Other Recurring Revenue and is recognized ratably typically over the first year following installation of the system as the customer receives the service-type warranty throughout the period. The Company’s system contracts generally do not provide a right of return. Systems may be covered by a one-year assurance-type warranty in lieu of a service-type warranty. Assurance-type warranty costs were less than $0.1 for the three months ended March 31, 2026, and 2025. Revenue from system delivery and installation represented 21% and 26% of revenue for the three months ended March 31, 2026, and 2025, respectively.</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Disposables:</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three months ended March 31, 2026, and 2025. Disposable revenue represented 37% and 39% of revenue for the three months ended March 31, 2026, and 2025, respectively.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Royalty:</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receives royalties on the sale of various devices as provided by co-development and co-placement arrangements with various manufacturers. There was no royalty revenue for the three months ended March 31, 2026, and 2025,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Other Recurring Revenue:</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Other recurring revenue includes revenue from product maintenance plans, service-type warranties, and other post warranty maintenance. Revenue from services and software enhancements, including service-type warranties, are deferred and amortized over the service or update period, which is typically one year. Revenue related to services performed on a time-and-materials basis is recognized when performed. Other recurring revenue represented 42% and 35% of revenue for the three months ended March 31, 2026, and 2025, respectively.</w:t>
      </w:r>
    </w:p>
    <w:p>
      <w:pPr>
        <w:spacing w:after="0" w:line="180"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revenue for systems, disposables, and service and accessories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9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4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4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106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1,964</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Disposables, service and accessories</w:t>
            </w:r>
          </w:p>
        </w:tc>
        <w:tc>
          <w:tcPr>
            <w:tcW w:w="106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4,972</w:t>
            </w:r>
          </w:p>
        </w:tc>
        <w:tc>
          <w:tcPr>
            <w:tcW w:w="11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3"/>
              </w:rPr>
              <w:t>5,508</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60" w:type="dxa"/>
            <w:vAlign w:val="bottom"/>
            <w:tcBorders>
              <w:top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7,472</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Transaction price allocated to remaining performance obligations relates to amounts allocated to products and services for which the revenue has not yet been recognized. A significant portion of this amount relates to the Company’s systems contracts and obligations that will be recognized as revenue in future periods. These obligations are generally satisfied within two years after contract inception but may occasionally extend longer. Transaction price representing revenue to be earned on remaining performance obligations on system contracts was approximately $10.0 million as of March 31, 2026. Performance obligations arising from contracts for disposables and service are generally expected to be satisfied within one year after entering into the contract.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contract assets and liabilities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60" w:type="dxa"/>
            <w:vAlign w:val="bottom"/>
          </w:tcPr>
          <w:p>
            <w:pPr>
              <w:spacing w:after="0"/>
              <w:rPr>
                <w:sz w:val="18"/>
                <w:szCs w:val="18"/>
                <w:color w:val="auto"/>
              </w:rPr>
            </w:pPr>
          </w:p>
        </w:tc>
      </w:tr>
      <w:tr>
        <w:trPr>
          <w:trHeight w:val="238"/>
        </w:trPr>
        <w:tc>
          <w:tcPr>
            <w:tcW w:w="4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80" w:type="dxa"/>
            <w:vAlign w:val="bottom"/>
          </w:tcPr>
          <w:p>
            <w:pPr>
              <w:spacing w:after="0"/>
              <w:rPr>
                <w:sz w:val="20"/>
                <w:szCs w:val="20"/>
                <w:color w:val="auto"/>
              </w:rPr>
            </w:pPr>
          </w:p>
        </w:tc>
        <w:tc>
          <w:tcPr>
            <w:tcW w:w="13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 - unbilled receivables</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Total unbilled receivables</w:t>
            </w:r>
          </w:p>
        </w:tc>
        <w:tc>
          <w:tcPr>
            <w:tcW w:w="146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26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w:t>
            </w:r>
          </w:p>
        </w:tc>
        <w:tc>
          <w:tcPr>
            <w:tcW w:w="162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1,070</w:t>
            </w:r>
          </w:p>
        </w:tc>
        <w:tc>
          <w:tcPr>
            <w:tcW w:w="226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shipped, revenue deferred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781</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993</w:t>
            </w:r>
          </w:p>
        </w:tc>
        <w:tc>
          <w:tcPr>
            <w:tcW w:w="22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Deferred service and license fees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4,973</w:t>
            </w:r>
          </w:p>
        </w:tc>
        <w:tc>
          <w:tcPr>
            <w:tcW w:w="18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4,167</w:t>
            </w:r>
          </w:p>
        </w:tc>
        <w:tc>
          <w:tcPr>
            <w:tcW w:w="2260" w:type="dxa"/>
            <w:vAlign w:val="bottom"/>
          </w:tcPr>
          <w:p>
            <w:pPr>
              <w:spacing w:after="0"/>
              <w:rPr>
                <w:sz w:val="18"/>
                <w:szCs w:val="18"/>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Long-term deferred revenue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(555)</w:t>
            </w:r>
          </w:p>
        </w:tc>
        <w:tc>
          <w:tcPr>
            <w:tcW w:w="2260" w:type="dxa"/>
            <w:vAlign w:val="bottom"/>
          </w:tcPr>
          <w:p>
            <w:pPr>
              <w:spacing w:after="0"/>
              <w:rPr>
                <w:sz w:val="18"/>
                <w:szCs w:val="18"/>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deferred revenue</w:t>
            </w:r>
          </w:p>
        </w:tc>
        <w:tc>
          <w:tcPr>
            <w:tcW w:w="14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6,541</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32"/>
        </w:trPr>
        <w:tc>
          <w:tcPr>
            <w:tcW w:w="4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2"/>
          </w:tcPr>
          <w:p>
            <w:pPr>
              <w:jc w:val="center"/>
              <w:ind w:left="1270"/>
              <w:spacing w:after="0"/>
              <w:rPr>
                <w:sz w:val="20"/>
                <w:szCs w:val="20"/>
                <w:color w:val="auto"/>
              </w:rPr>
            </w:pPr>
            <w:r>
              <w:rPr>
                <w:rFonts w:ascii="Times New Roman" w:cs="Times New Roman" w:eastAsia="Times New Roman" w:hAnsi="Times New Roman"/>
                <w:sz w:val="18"/>
                <w:szCs w:val="18"/>
                <w:color w:val="auto"/>
                <w:w w:val="99"/>
              </w:rPr>
              <w:t>12</w:t>
            </w:r>
          </w:p>
        </w:tc>
        <w:tc>
          <w:tcPr>
            <w:tcW w:w="1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2" w:name="page13"/>
    <w:bookmarkEnd w:id="1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invoices its customers based on the billing schedules in its sales arrangements. Contract assets primarily represent the difference between the revenue that was earned but not billed on service contracts and revenue from system contracts that was recognized based on the standalone selling price of the related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The Company did not have any impairment losses on its contract assets for the periods presented.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recognized for the three months ended March 31, 2026, and 2025, that was included in the deferred revenue balance at the beginning of each reporting period was $2.5 million and $2.2 million,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the Costs to Obtain a Contract with a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consolidated balance sheet were approximately $0.2 million and $0.1 million as of March 31, 2026, and December 31, 2025, respectively. The Company did not incur any impairment losses during any of the periods presented.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of systems revenue include direct product costs, installation labor and other costs including estimated assurance-type warranty costs, and initial training costs, when applicable. These costs are recognized at the time of sale. Costs of disposable revenue include direct product costs and estimated warranty costs and are recognized at the time of sale. Cost of revenue from services and license fees are recognized when incurred.</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assets acquired in business combinations and is allocated to the appropriate reporting unit when acquired. Other acquired intangible assets are stated at the fair value acquired. Goodwill is not amortized; rather, it is evaluated for impairment annually and whenever events or changes in circumstances indicate that the value of the asset may be impaired. Definite-lived intangible assets are considered long-lived assets and are amortized on a straight-line basis over the periods that expected economic benefits will be provided.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Liabilities- Earnout Consideration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determined that the contingent consideration due under the terms of its July 31, 2024, acquisition agreement with APT Holding Company, Inc. represents a contingent liability in accordance with the provisions of ASC 805, Business Combinations. The Company has established short-term and long-term contingent liabilities for the net present fair value of contingent payments which are both probable of occurrence and reasonably estimable. The initial fair value of the contingent consideration was determined by a third-party valuation firm using both a Monte Carlo simulation and probability-based approaches. The contingent consideration is remeasured to fair value at each reporting date until the contingency is resolved. Changes in fair value are recognized in the Company’s earnings as a charge to General and Administrative expenses. See Note 10 under the subheading “</w:t>
      </w:r>
      <w:r>
        <w:rPr>
          <w:rFonts w:ascii="Times New Roman" w:cs="Times New Roman" w:eastAsia="Times New Roman" w:hAnsi="Times New Roman"/>
          <w:sz w:val="18"/>
          <w:szCs w:val="18"/>
          <w:i w:val="1"/>
          <w:iCs w:val="1"/>
          <w:color w:val="auto"/>
        </w:rPr>
        <w:t>Access Point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Technologies Share Purchase Agreement” </w:t>
      </w:r>
      <w:r>
        <w:rPr>
          <w:rFonts w:ascii="Times New Roman" w:cs="Times New Roman" w:eastAsia="Times New Roman" w:hAnsi="Times New Roman"/>
          <w:sz w:val="18"/>
          <w:szCs w:val="18"/>
          <w:color w:val="auto"/>
        </w:rPr>
        <w:t>for further discussion of the contingent consideration recorded as of March 31, 2026.</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Leasing Arrangements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lease is defined as a contract, or part of a contract, that conveys the right to control the use of identified property, plant or equipment for a period of time in exchange for consideration. The Company accounts for leases in accordance with Accounting Standards Update No. 2016-02 “Leases” (Topic 842) and all subsequent ASUs that modified Topic 842 (“ASC 842”). The Company determines if an arrangement contains a lease at inception.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leases its facilities under operating leases. In accordance with ASC 842, operating lease agreements are recognized on the consolidated balance sheet as a right-of-use (“ROU”) asset and a corresponding lease liability. These leases generally do not have significant rent escalation holidays, concessions, leasehold improvement incentives, or other build-out clauses. Further, the leases do not contain contingent rent provisions. Many of our leases include both lease (i.e., fixed payments including rent, taxes, and insurance costs) and non-lease components (i.e., common-area or other maintenance costs) which are accounted for as a single lease component as we have elected the practical expedient to group lease and non-lease components for all leases.</w:t>
      </w:r>
    </w:p>
    <w:p>
      <w:pPr>
        <w:spacing w:after="0" w:line="18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17"/>
          <w:szCs w:val="17"/>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the ROU asset and lease liability. The Company elected not to include short-term leases (i.e., leases with initial terms of twelve months or less) on the consolidated balance sheet.</w:t>
      </w:r>
    </w:p>
    <w:p>
      <w:pPr>
        <w:spacing w:after="0" w:line="15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calculated amounts of the ROU assets and lease liabilities are impacted by the length of the lease term and the discount rate used to calculate the present value of the minimum lease payments. ASC 842 requires the use of the discount rate implicit in the lease whenever this rate is readily determinable. As this rate is rarely determinable, the Company utilizes its incremental borrowing rate at lease inception.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its grants of stock options, non-qualified stock options, stock appreciation rights, restricted shares, restricted stock units and for its employee stock purchase plan in accordance with the provisions of general accounting principles for share-based payments. These accounting principles require the determination of the fair value of the stock-based compensation at the grant date and the recognition of the related expense over the period in which the stock-based compensation vests.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time-based awards, the Company utilizes the Black-Scholes valuation model to determine the fair value of stock options and stock appreciation rights at the date of grant. The weighted average assumptions and fair value for options granted during the three months ended March 31, 2026, were 1) expected dividend rate of 0%; 2) expected volatility of 75% based on the Company’s historical volatility; 3) risk-free interest rate based on the Treasury yield on the date of grant; and 4) expected term of 6.25 years. The resulting compensation expense is recognized over the requisite service period, which is generally four years, net of actual forfeitures. Restricted shares and units granted to employees and non-employee directors are valued at the fair market value at the date of grant. The Company amortizes the fair market value to expense over the service period, which is generally four years except for grants to directors which are generally earned over a period of six months. If the shares are subject to performance objectives, the resulting compensation expense is amortized over the anticipated vesting period and is subject to adjustment based on the actual achievement of objectives.</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market-based awards, stock-based compensation expense is recognized over the minimum service period regardless of whether the market target is probable of being achieved. The fair value of such awards is estimated on the grant date using Monte Carlo simulations.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Shares purchased by employees under the 2022 Employee Stock Purchase Plans are considered to be non-compensatory.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Share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Basic earnings (loss) per common share is computed by dividing the net earnings (loss) for the period by the weighted average number of common shares outstanding during the period. In periods where there is net income, we apply the two-class method to calculate basic and diluted net income (loss) per share of common stock, as our convertible preferred stock is a participating security. The two-class method is an earnings allocation formula that treats a participating security as having rights to earnings that otherwise would have been available to common stockholders. In periods where there is a net loss, the two-class method of computing earnings per share does not apply as our convertible preferred stock does not contractually participate in our losses. We compute diluted net income (loss) per common share using net income (loss) as the “control number” in determining whether potential common shares are dilutive, after giving consideration to all potentially dilutive common shares, including stock options, warrants, unvested restricted stock units outstanding during the period and potential issuance of stock upon the conversion of our convertible preferred stock issued and outstanding during the period, except where the effect of such securities would be antidilutive.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 (in thousands except for share and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20" w:type="dxa"/>
            <w:vAlign w:val="bottom"/>
            <w:gridSpan w:val="5"/>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56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Cumulative dividend on convertible preferred stock</w:t>
            </w:r>
          </w:p>
        </w:tc>
        <w:tc>
          <w:tcPr>
            <w:tcW w:w="260" w:type="dxa"/>
            <w:vAlign w:val="bottom"/>
          </w:tcPr>
          <w:p>
            <w:pPr>
              <w:spacing w:after="0"/>
              <w:rPr>
                <w:sz w:val="18"/>
                <w:szCs w:val="18"/>
                <w:color w:val="auto"/>
              </w:rPr>
            </w:pP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 and equivalents:</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98,891,179</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87,769,366</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(0.06)</w:t>
            </w: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did not include any portion of unearned restricted shares, outstanding options, stock appreciation rights, warrants or convertible preferred stock in the calculation of diluted loss per common share because all such securities are anti-dilutive for all periods presented. The application of the two-class method of computing earnings per share under general accounting principles for participating securities is not applicable during these periods because those securities do not contractually participate in its losses.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the Company had 4,102,414 shares of common stock issuable upon the exercise of outstanding options and stock appreciation rights at a weighted average exercise price of $3.48 per share, 50,755,686 shares of our common stock issuable upon conversion of our Series A Convertible Preferred Stock, and 2,587,321 shares of unvested restricted share units. awarded under the 2022 Stock Purchase Plan, and 13,000,000 unvested share units relating to the 2021 CEO Performance Award Unit Grant. The Company had no unearned restricted shares outstanding as of March 31, 2026.</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disclosure about the types of costs and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its related disclosures.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3.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cash and cash equivalents, amortized cost, gross unrealized gains, gross unrealized losses, and fair value by significant category reported as cash and cash equivalents and restricted cash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March 31, 2026</w:t>
            </w:r>
          </w:p>
        </w:tc>
      </w:tr>
      <w:tr>
        <w:trPr>
          <w:trHeight w:val="209"/>
        </w:trPr>
        <w:tc>
          <w:tcPr>
            <w:tcW w:w="5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Reported as:</w:t>
            </w:r>
          </w:p>
        </w:tc>
        <w:tc>
          <w:tcPr>
            <w:tcW w:w="80" w:type="dxa"/>
            <w:vAlign w:val="bottom"/>
          </w:tcPr>
          <w:p>
            <w:pPr>
              <w:spacing w:after="0"/>
              <w:rPr>
                <w:sz w:val="18"/>
                <w:szCs w:val="18"/>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100" w:type="dxa"/>
            <w:vAlign w:val="bottom"/>
          </w:tcPr>
          <w:p>
            <w:pPr>
              <w:spacing w:after="0"/>
              <w:rPr>
                <w:sz w:val="16"/>
                <w:szCs w:val="16"/>
                <w:color w:val="auto"/>
              </w:rPr>
            </w:pPr>
          </w:p>
        </w:tc>
        <w:tc>
          <w:tcPr>
            <w:tcW w:w="14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Restricted Cash-</w:t>
            </w:r>
          </w:p>
        </w:tc>
        <w:tc>
          <w:tcPr>
            <w:tcW w:w="80" w:type="dxa"/>
            <w:vAlign w:val="bottom"/>
          </w:tcPr>
          <w:p>
            <w:pPr>
              <w:spacing w:after="0"/>
              <w:rPr>
                <w:sz w:val="16"/>
                <w:szCs w:val="16"/>
                <w:color w:val="auto"/>
              </w:rPr>
            </w:pP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current</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180" w:type="dxa"/>
            <w:vAlign w:val="bottom"/>
            <w:tcBorders>
              <w:top w:val="single" w:sz="8" w:color="auto"/>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Reported as:</w:t>
            </w:r>
          </w:p>
        </w:tc>
        <w:tc>
          <w:tcPr>
            <w:tcW w:w="80" w:type="dxa"/>
            <w:vAlign w:val="bottom"/>
          </w:tcPr>
          <w:p>
            <w:pPr>
              <w:spacing w:after="0"/>
              <w:rPr>
                <w:sz w:val="18"/>
                <w:szCs w:val="18"/>
                <w:color w:val="auto"/>
              </w:rPr>
            </w:pPr>
          </w:p>
        </w:tc>
      </w:tr>
      <w:tr>
        <w:trPr>
          <w:trHeight w:val="187"/>
        </w:trPr>
        <w:tc>
          <w:tcPr>
            <w:tcW w:w="5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Cash and Cash</w:t>
            </w:r>
          </w:p>
        </w:tc>
        <w:tc>
          <w:tcPr>
            <w:tcW w:w="100" w:type="dxa"/>
            <w:vAlign w:val="bottom"/>
          </w:tcPr>
          <w:p>
            <w:pPr>
              <w:spacing w:after="0"/>
              <w:rPr>
                <w:sz w:val="16"/>
                <w:szCs w:val="16"/>
                <w:color w:val="auto"/>
              </w:rPr>
            </w:pPr>
          </w:p>
        </w:tc>
        <w:tc>
          <w:tcPr>
            <w:tcW w:w="1420" w:type="dxa"/>
            <w:vAlign w:val="bottom"/>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Restricted Cash-</w:t>
            </w:r>
          </w:p>
        </w:tc>
        <w:tc>
          <w:tcPr>
            <w:tcW w:w="80" w:type="dxa"/>
            <w:vAlign w:val="bottom"/>
          </w:tcPr>
          <w:p>
            <w:pPr>
              <w:spacing w:after="0"/>
              <w:rPr>
                <w:sz w:val="16"/>
                <w:szCs w:val="16"/>
                <w:color w:val="auto"/>
              </w:rPr>
            </w:pPr>
          </w:p>
        </w:tc>
      </w:tr>
      <w:tr>
        <w:trPr>
          <w:trHeight w:val="238"/>
        </w:trPr>
        <w:tc>
          <w:tcPr>
            <w:tcW w:w="5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20"/>
                <w:szCs w:val="20"/>
                <w:color w:val="auto"/>
              </w:rPr>
            </w:pPr>
          </w:p>
        </w:tc>
        <w:tc>
          <w:tcPr>
            <w:tcW w:w="16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current</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12,096</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12,096</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recorded for these cash and investments was consistent at approximately $0.1 million and $0.5 million during the three months ended March 31, 2026, and the year ended December 31, 2025, respectively.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the Company did not have any financial assets classified as Level 1 or Level 3. The contingent consideration is carried at fair value and is a Level 3 financial liability. See further discussion of the contingent consideration in Note 10 under the subheading “</w:t>
      </w:r>
      <w:r>
        <w:rPr>
          <w:rFonts w:ascii="Times New Roman" w:cs="Times New Roman" w:eastAsia="Times New Roman" w:hAnsi="Times New Roman"/>
          <w:sz w:val="18"/>
          <w:szCs w:val="18"/>
          <w:i w:val="1"/>
          <w:iCs w:val="1"/>
          <w:color w:val="auto"/>
        </w:rPr>
        <w:t>Access Point Technologies Share Purchase Agreement”</w:t>
      </w:r>
      <w:r>
        <w:rPr>
          <w:rFonts w:ascii="Times New Roman" w:cs="Times New Roman" w:eastAsia="Times New Roman" w:hAnsi="Times New Roman"/>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4. Inventories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1,907</w:t>
            </w:r>
          </w:p>
        </w:tc>
        <w:tc>
          <w:tcPr>
            <w:tcW w:w="5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4,462</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Reserve for excess and obsolescence</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(2,678)</w:t>
            </w:r>
          </w:p>
        </w:tc>
        <w:tc>
          <w:tcPr>
            <w:tcW w:w="58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(2,591)</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inventory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Company had approximately $2.7 million in reserve for excess and obsolescence. The reserve includes the fair value of slow-moving acquired inventory and the value of </w:t>
      </w:r>
      <w:r>
        <w:rPr>
          <w:rFonts w:ascii="Times New Roman" w:cs="Times New Roman" w:eastAsia="Times New Roman" w:hAnsi="Times New Roman"/>
          <w:sz w:val="18"/>
          <w:szCs w:val="18"/>
          <w:i w:val="1"/>
          <w:iCs w:val="1"/>
          <w:color w:val="auto"/>
        </w:rPr>
        <w:t>Niobe</w:t>
      </w:r>
      <w:r>
        <w:rPr>
          <w:rFonts w:ascii="Times New Roman" w:cs="Times New Roman" w:eastAsia="Times New Roman" w:hAnsi="Times New Roman"/>
          <w:sz w:val="18"/>
          <w:szCs w:val="18"/>
          <w:color w:val="auto"/>
        </w:rPr>
        <w:t xml:space="preserve"> Systems and related raw materials and spare parts.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5. Prepaid Expenses and Other Assets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7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 (in thousands):</w:t>
            </w: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Prepaid commissions</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192</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128</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assets</w:t>
            </w:r>
          </w:p>
        </w:tc>
        <w:tc>
          <w:tcPr>
            <w:tcW w:w="12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2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Noncurrent prepaid expenses and other assets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(330)</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prepaid expenses and other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6. Property and Equipment</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2,926</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(4,976)</w:t>
            </w:r>
          </w:p>
        </w:tc>
        <w:tc>
          <w:tcPr>
            <w:tcW w:w="580" w:type="dxa"/>
            <w:vAlign w:val="bottom"/>
          </w:tcPr>
          <w:p>
            <w:pPr>
              <w:spacing w:after="0"/>
              <w:rPr>
                <w:sz w:val="18"/>
                <w:szCs w:val="18"/>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(4,816)</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7. Goodwill and Intangible Assets</w:t>
            </w: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Goodwill and Intangible Assets consist of the following (in thousands):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6,443</w:t>
            </w:r>
          </w:p>
        </w:tc>
        <w:tc>
          <w:tcPr>
            <w:tcW w:w="58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 process research and development</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577</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310</w:t>
            </w:r>
          </w:p>
        </w:tc>
        <w:tc>
          <w:tcPr>
            <w:tcW w:w="5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Trademark</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intangibles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(1,547)</w:t>
            </w:r>
          </w:p>
        </w:tc>
        <w:tc>
          <w:tcPr>
            <w:tcW w:w="5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intangibles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26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6,429</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8.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1, 2021, the Company entered into an office lease agreement (the “Globe Lease”) with Globe Building Company, under which the Company leases executive office space and manufacturing facilities of approximately 43,100 square feet of rentable space located at 710 N. Tucker Boulevard, St. Louis, Missouri that serves as the Company’s principal executive and administrative offices and manufacturing facility. Lease payments commenced on January 1, 2022, and the lease has a term of ten years, with two renewal options of five years each. The minimum annual rent under the terms of the Globe Lease ranges from approximately $0.8 million in 2022 to $1.0 million in 2031.</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31, 2024, the Company entered into a lease agreement (the “Talulla Lease”) with Talulla Group LLC, under which the Company will lease office space and manufacturing facilities of approximately 11,300 square feet of rentable space located at 12560 Fletcher Lane, Rogers, Minnesota that will continue to serve as the APT’s office and manufacturing facility. Lease payments commenced on August 1, 2024, and the lease has a term of four years, with two renewal options of four years each. The minimum annual rent under the terms of the Talulla Lease is approximately $0.2 million per year. In accordance with ASC 842, the Company recorded a ROU asset and lease liability in third quarter of 2024. The initial recognition of the ROU asset and lease liability was $1.0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6" w:name="page17"/>
    <w:bookmarkEnd w:id="1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weighted average discount rate for operating leases was 9% and the weighted average remaining lease term for operating lease term is 5.84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represents lease costs and other lease information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29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6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rPr>
              <w:t>2026</w:t>
            </w: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1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1100" w:type="dxa"/>
            <w:vAlign w:val="bottom"/>
            <w:tcBorders>
              <w:top w:val="single" w:sz="8" w:color="auto"/>
              <w:bottom w:val="single" w:sz="8" w:color="auto"/>
            </w:tcBorders>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within operating cash flows</w:t>
            </w:r>
          </w:p>
        </w:tc>
        <w:tc>
          <w:tcPr>
            <w:tcW w:w="1100" w:type="dxa"/>
            <w:vAlign w:val="bottom"/>
            <w:shd w:val="clear" w:color="auto" w:fill="CCEEFF"/>
          </w:tcPr>
          <w:p>
            <w:pPr>
              <w:jc w:val="right"/>
              <w:ind w:right="933"/>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315</w:t>
            </w:r>
          </w:p>
        </w:tc>
        <w:tc>
          <w:tcPr>
            <w:tcW w:w="1180" w:type="dxa"/>
            <w:vAlign w:val="bottom"/>
            <w:shd w:val="clear" w:color="auto" w:fill="CCEEFF"/>
          </w:tcPr>
          <w:p>
            <w:pPr>
              <w:jc w:val="right"/>
              <w:ind w:right="101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294</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Variable lease costs consist primarily of taxes, insurance, and common area or other maintenance costs for our leased facilities and equipment which are paid based on actual costs incurred.</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Future minimum payments for operating leases with initial or remaining terms of one year or more as of March 31, 2026, were as follows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1,199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2031 and thereafter</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1,334</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1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Less: Interest</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9. Accrued Liabilities</w:t>
            </w: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liabilities consist of the following (in thousands):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salaries, bonus, and benefits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warranties</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services</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taxes</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contract obligation</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Long term accrued liabilities</w:t>
            </w:r>
          </w:p>
        </w:tc>
        <w:tc>
          <w:tcPr>
            <w:tcW w:w="120" w:type="dxa"/>
            <w:vAlign w:val="bottom"/>
          </w:tcPr>
          <w:p>
            <w:pPr>
              <w:spacing w:after="0"/>
              <w:rPr>
                <w:sz w:val="18"/>
                <w:szCs w:val="18"/>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accrued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10. Convertible Preferred Stock and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and to receive dividends when and as declared by the Board of Directors out of funds legally available for dividends, subject to the prior rights or preferences applicable to any preferred stock as may then be outstanding. No dividends have been declared or paid as of March 31, 2026, and the Company does not presently intend to pay any cash dividends in the foreseeable future.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29, 2025, the Company entered into a sales agreement (the “Original Sales Agreement”, and as amended below, the “Sales Agreement”) with Roth Capital Markets (“Roth”), as sales agent and/or principal, pursuant to which the Company may issue and sell, from time to time, through Roth as sales agent and/or principal, shares of its common stock having an aggregate gross sales price of up to $50.0 million. Sales may be made by any method deemed an “at-the-market offering” as defined in Rule 415(a)(4) under the Securities Act or through privately negotiated transactions. The Company is obligated to pay Roth a commission of up to 3.0% of the gross proceeds from any common stock sold through the Sales Agreement, along with reimbursement of certain expenses. Roth may also buy shares as principal for its own account at prices agreed upon at the time of sale, in which case the Company will enter into a separate terms agreement with Roth.</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13, 2026, the Company entered into a first amendment to the Sales Agreement, which modified the Original Sales Agreement to, among other things, reflect our filing of a new shelf registration statement on Form S-3 with the SEC on March 13, 2026 and set the maximum amount of shares of our common stock that we may offer and sell through or to Roth at $50 million from the date of the amendment to the Sales Agreement, subject to certain limitations set forth in the amendment.</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2026, the Company sold an aggregate of 2,005,308 shares of common stock under the Sales Agreement, at an average price of approximately $2.39 per share for gross proceeds of $4.8 million and net proceeds of $4.6 million, after deducting Roth’s commission and other expenses. As of March 31, 2026, $50.0 million of common stock remained available to be sold under this program, subject to certain conditions as specified in the Sales Agreement. The Company intends to use the net proceeds from any sales of common stock this at-the-market offering program for working capital, research and development and other general corporate purposes, including the accelerated commercialization of the Company’s innovation pipeline.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Equity Financing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July 17, 2025, the Company entered into a placement agency agreement (the “Placement Agency Agreement”) with Lake Street Capital Markets, LLC (“Placement Agent”) and a securities purchase agreement (the “Purchase Agreement”) with certain investors (the “Investors”) pursuant to which the Company agreed to sell, in a registered direct offering (the “Offering”), $12.5 million shares of its common stock, as described below. The public offering price for each per share of common stock in the Offering was $2.00. The initial closing (the “Initial Closing”) under the Purchase Agreement occurred on July 18, 2025. The Company issued an aggregate of 4,250,000 shares of its common stock (the “Initial Shares”) to the Investors and received net proceeds of $7.8 million after deducting the Placement Agent’s fees and other offering expenses payable by the Company with respect to such Initial Shares. The Company agreed to pay the Placement Agent as compensation a cash fee equal to 5.5% as to $7.5 million of the gross proceeds received at the Initial Closing, plus reimbursement of certain expenses. In addition, the Company agreed to issue, and one of the Investors agreed to purchase, 2,000,000 additional Shares (the “Additional Shares”) on November 25, 2025 (or such earlier date as the Company and such Investor agrees) (the “Additional Closing”). At the Additional Closing, the Company received gross proceeds of $4.0 million for such Additional Shares, before deducting Offering expenses payable by the Company with respect to such Additional Shares.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Access Point Technologies Share Purchase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31, 2024, the Company acquired all the shares of capital stock of Access Point Technologies EP, Inc. (“APT”), a Minnesota corporation, from APT Holding Company, Inc. (“APT Holding”), a Minnesota corporation, pursuant to a Share Purchase Agreement among the Company, APT and APT Holding dated May 11, 2024 (the “APT Share Purchase Agreement”). At closing, the Company issued 1,486,620 shares of its common stock (the “Upfront Stock Consideration”) with an agreed upon value of $3.0 million. The Share Purchase Agreement obligated the Company to file a resale registration statement relating to the Upfront Stock Consideration and additional Earnout Shares. The registration statement covered the 1,486,620 shares issued as Upfront Stock Consideration and an estimated 4,613,380 additional Earnout Shares deliverable under the APT Share Purchase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Thereafter , the Company issued a portion of the Earnout Shares deliverable under the APT Share Purchase Agreement to APT Holding, comprised of</w:t>
      </w:r>
    </w:p>
    <w:p>
      <w:pPr>
        <w:spacing w:after="0" w:line="27" w:lineRule="exact"/>
        <w:rPr>
          <w:sz w:val="20"/>
          <w:szCs w:val="20"/>
          <w:color w:val="auto"/>
        </w:rPr>
      </w:pPr>
    </w:p>
    <w:p>
      <w:pPr>
        <w:ind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417,710 Earnout Shares on August 7, 2025 in accordance with Section 2.5(b) of the APT Share Purchase Agreement, and (ii) 1,001,813 Earnout Shares on October 29, 2025 in accordance with Section 2.5(c) of the APT Share Purchase Agreement.</w:t>
      </w:r>
    </w:p>
    <w:p>
      <w:pPr>
        <w:spacing w:after="0" w:line="18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exact number of additional Earnout Shares that may be issued under the APT Share Purchase Agreement for additional achievement of regulatory or commercial milestones will be calculated based on the average of the closing per share price of Stereotaxis common stock immediately prior to the dates such milestones are achieved. The final end date for all such milestones is September 30, 2029. The aggregate agreed upon value of such Earnout Shares could be up to $24.0 million in total value (assuming all commercial and regulatory milestones are achieved and inclusive of the Earnout Shares issued in August and October 2025), provided in no event will the Company be obligated to issue the Earnout Shares, together with the Upfront Stock Consideration, that would exceed 19.9% of the total number of shares of the Company’s common stock issued and outstanding immediately prior to July 31, 2024.</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expense of $0.8 million and $0.5 million for the three months ended March 31, 2026 and 2025, respectively, due to the revaluation of contingent consideration. This expense is recognized within General and Administrative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 and Warrants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September 2016, the Company issued (i) 24,000 shares of Series A Convertible Preferred Stock (the “Series A Preferred Stock”), par value $0.001 per share, with a stated value of $1,000 per share, which are convertible into shares of the Company’s common stock at an initial conversion rate of $0.65 per share, subject to adjustment for events such as stock splits, combinations and the like as provided in the certificate of designations covering such Series A Preferred Stock, and (ii) (the SPA Warrants) to purchase an aggregate of 36,923,078 shares of common stock. The shares of Series A Preferred Stock are entitled to vote on an as-converted basis with the common stock, subject to specified beneficial ownership issuance limitations. The Series A Preferred Stock bear dividends at a rate of six percent (6%) per annum, which are cumulative and accrue daily from the date of issuance on the $1,000 stated value. Such dividends will not be paid in cash except in connection with any liquidation, dissolution or winding up of the Company or any redemption of the Series A Preferred Stock. Each holder of convertible preferred shares has the right to require us to redeem such holder’s shares of Series A Preferred Stock upon the occurrence of specified events, which include certain business combinations, the sale of all or substantially all of the Company’s assets, or the sale of more than 50% of the outstanding shares of the Company’s common stock. In addition, the Company has the right to redeem the Series A Preferred Stock in the event of a defined change of control. The Series A Preferred Stock ranks senior to our common stock as to distributions and payments upon the liquidation, dissolution, and winding up of the Company. Since the Series A Preferred Stock are subject to conditions for redemption that are outside the Company’s control, the Series A Preferred Stock are presently reported in the mezzanine section of the consolidated balance sheet.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2021 CEO Performance Award Unit Grant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23, 2021, the Company`s Board of Directors, upon recommendation of the Compensation Committee, approved the grant of the CEO Performance Award to the Company’s Chief Executive Officer. The CEO Performance award is a 10-year performance award of up to 13,000,000 shares, tied to the achievement of market capitalization milestones and subject to minimum service requirements.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detailed in the table below, the CEO Performance Award consists of ten vesting tranches. The first market capitalization milestone is $1.0 billion, and each of the remaining nine market capitalization milestones are in additional $500 million increments, up to $5.5 billion.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No. of Shares Subject to</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Market Capitalization</w:t>
            </w:r>
          </w:p>
        </w:tc>
      </w:tr>
      <w:tr>
        <w:trPr>
          <w:trHeight w:val="270"/>
        </w:trPr>
        <w:tc>
          <w:tcPr>
            <w:tcW w:w="6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Tranche #</w:t>
            </w:r>
          </w:p>
        </w:tc>
        <w:tc>
          <w:tcPr>
            <w:tcW w:w="208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PSU</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20" w:type="dxa"/>
            <w:vAlign w:val="bottom"/>
            <w:gridSpan w:val="2"/>
          </w:tcPr>
          <w:p>
            <w:pPr>
              <w:jc w:val="center"/>
              <w:ind w:right="200"/>
              <w:spacing w:after="0" w:line="270" w:lineRule="exact"/>
              <w:rPr>
                <w:sz w:val="20"/>
                <w:szCs w:val="20"/>
                <w:color w:val="auto"/>
              </w:rPr>
            </w:pPr>
            <w:r>
              <w:rPr>
                <w:rFonts w:ascii="Times New Roman" w:cs="Times New Roman" w:eastAsia="Times New Roman" w:hAnsi="Times New Roman"/>
                <w:sz w:val="18"/>
                <w:szCs w:val="18"/>
                <w:b w:val="1"/>
                <w:bCs w:val="1"/>
                <w:color w:val="auto"/>
                <w:w w:val="95"/>
              </w:rPr>
              <w:t>Milestones</w:t>
            </w:r>
            <w:r>
              <w:rPr>
                <w:rFonts w:ascii="Times New Roman" w:cs="Times New Roman" w:eastAsia="Times New Roman" w:hAnsi="Times New Roman"/>
                <w:sz w:val="29"/>
                <w:szCs w:val="29"/>
                <w:b w:val="1"/>
                <w:bCs w:val="1"/>
                <w:color w:val="auto"/>
                <w:w w:val="95"/>
                <w:vertAlign w:val="superscript"/>
              </w:rPr>
              <w:t>(1)</w:t>
            </w:r>
          </w:p>
        </w:tc>
      </w:tr>
      <w:tr>
        <w:trPr>
          <w:trHeight w:val="210"/>
        </w:trPr>
        <w:tc>
          <w:tcPr>
            <w:tcW w:w="6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1,500,000,000</w:t>
            </w:r>
          </w:p>
        </w:tc>
      </w:tr>
      <w:tr>
        <w:trPr>
          <w:trHeight w:val="216"/>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2,000,000,000</w:t>
            </w: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2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2,500,000,000</w:t>
            </w:r>
          </w:p>
        </w:tc>
      </w:tr>
      <w:tr>
        <w:trPr>
          <w:trHeight w:val="216"/>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3,000,000,000</w:t>
            </w: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22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3,500,000,000</w:t>
            </w:r>
          </w:p>
        </w:tc>
      </w:tr>
      <w:tr>
        <w:trPr>
          <w:trHeight w:val="216"/>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4,000,000,000</w:t>
            </w: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22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4,500,000,000</w:t>
            </w:r>
          </w:p>
        </w:tc>
      </w:tr>
      <w:tr>
        <w:trPr>
          <w:trHeight w:val="216"/>
        </w:trPr>
        <w:tc>
          <w:tcPr>
            <w:tcW w:w="6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2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5,000,000,000</w:t>
            </w:r>
          </w:p>
        </w:tc>
      </w:tr>
      <w:tr>
        <w:trPr>
          <w:trHeight w:val="216"/>
        </w:trPr>
        <w:tc>
          <w:tcPr>
            <w:tcW w:w="6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20" w:type="dxa"/>
            <w:vAlign w:val="bottom"/>
          </w:tcPr>
          <w:p>
            <w:pPr>
              <w:spacing w:after="0"/>
              <w:rPr>
                <w:sz w:val="18"/>
                <w:szCs w:val="18"/>
                <w:color w:val="auto"/>
              </w:rPr>
            </w:pPr>
          </w:p>
        </w:tc>
        <w:tc>
          <w:tcPr>
            <w:tcW w:w="2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5,500,000,000</w:t>
            </w:r>
          </w:p>
        </w:tc>
      </w:tr>
      <w:tr>
        <w:trPr>
          <w:trHeight w:val="216"/>
        </w:trPr>
        <w:tc>
          <w:tcPr>
            <w:tcW w:w="69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Total:</w:t>
            </w:r>
          </w:p>
        </w:tc>
        <w:tc>
          <w:tcPr>
            <w:tcW w:w="2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13,000,000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Each tranche represents a portion of the PSUs covering the number of shares outlined in the table above. Each tranche vests upon (i) satisfaction of the market capitalization milestones and (ii) continued employment as CEO of the Company from the grant date through December 31, 2030. Absent an earlier termination, the PSUs will expire on December 31, 2030. If our CEO ceases employment as CEO of the Company for any reason including death, disability, termination for cause or without cause (as defined in the award agreement), or if he voluntary terminates after service as CEO for at least five years, the remaining service period will be waived and he will retain any PSUs that have vested through the date of termination.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received Shareholder approval at its annual meeting on May 20, 2021, for shares to be issued under the award.</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market capitalization requirement is considered a market condition under FASB Accounting Standards Codification Topic 718 “Compensation – Stock Compensation” and is estimated on the grant date using Monte Carlo simulations. Recognition of stock-based compensation expense of all the tranches commenced on February 23, 2021, the date of grant, as the probability of meeting the ten market capitalization milestones is not considered in determining the timing of expense recognition. The expense will be recognized on an accelerated basis through 2030. Key assumptions for estimating the performance-based awards fair value at the date of grant included share price on grant date, volatility of the Company’s common stock price, risk free interest rate, and grant term.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stock-based compensation recorded as operating expense for the CEO Performance Award was $1.5 million and $1.8 million for the three months ended March 31, 2026, and 2025. As of March 31, 2026, and 2025, the Company had approximately $21.2 million and $28.1 million, respectively, of total unrecognized stock-based compensation expense remaining under the CEO Performance Award assuming the grantee’s continued employment as CEO of the Company, or in a similar capacity, through 2030. As of March 31, 2026, none of the performance milestones established by the 2021 CEO Incentive Program have been achieved, and no awards have been earned.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 Plans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2022, the Compensation Committee of the Board of Directors adopted the 2022 Stock Incentive Plan (the “Plan”) which was subsequently approved by the Company’s shareholders. This plan replaced the 2012 Stock Incentive Plan which expired on May 19, 2022. The 2022 Stock Incentive Plan allows for the grant of incentive stock options, non-qualified stock options, stock appreciation rights, restricted shares and restricted share units to employees, non-employee directors, and third-party consultants.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852" w:gutter="0" w:footer="0" w:header="0"/>
        </w:sectPr>
      </w:pPr>
    </w:p>
    <w:bookmarkStart w:id="19" w:name="page20"/>
    <w:bookmarkEnd w:id="19"/>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the Company had 3,747,135 remaining shares of the Company’s common stock to provide for current and future grants under its various equity plans.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2026, the total compensation cost related to options, stock appreciation rights, and non-vested stock granted to employees and non-employees under the Company’s stock award plans but not yet recognized was approximately $2.0 million, excluding compensation not yet recognized related to the CEO Performance Award discussed above. This cost will be amortized over a period of up to four years over the underlying estimated service periods and will be adjusted for subsequent changes in actual forfeitures and anticipated vesting periods.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option and stock appreciation rights activity for the three-month period ended March 31, 2026, is as follows: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4860" w:type="dxa"/>
            <w:vAlign w:val="bottom"/>
          </w:tcPr>
          <w:p>
            <w:pPr>
              <w:spacing w:after="0"/>
              <w:rPr>
                <w:sz w:val="18"/>
                <w:szCs w:val="18"/>
                <w:color w:val="auto"/>
              </w:rPr>
            </w:pPr>
          </w:p>
        </w:tc>
        <w:tc>
          <w:tcPr>
            <w:tcW w:w="184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8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Range of Exercise</w:t>
            </w: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Exercise Price per</w:t>
            </w:r>
          </w:p>
        </w:tc>
      </w:tr>
      <w:tr>
        <w:trPr>
          <w:trHeight w:val="238"/>
        </w:trPr>
        <w:tc>
          <w:tcPr>
            <w:tcW w:w="4860" w:type="dxa"/>
            <w:vAlign w:val="bottom"/>
          </w:tcPr>
          <w:p>
            <w:pPr>
              <w:spacing w:after="0"/>
              <w:rPr>
                <w:sz w:val="20"/>
                <w:szCs w:val="20"/>
                <w:color w:val="auto"/>
              </w:rPr>
            </w:pPr>
          </w:p>
        </w:tc>
        <w:tc>
          <w:tcPr>
            <w:tcW w:w="18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Options/SARs</w:t>
            </w:r>
          </w:p>
        </w:tc>
        <w:tc>
          <w:tcPr>
            <w:tcW w:w="182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30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Share</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4,270,381</w:t>
            </w:r>
          </w:p>
        </w:tc>
        <w:tc>
          <w:tcPr>
            <w:tcW w:w="3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$0.74 - $9.20</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1,000</w:t>
            </w:r>
          </w:p>
        </w:tc>
        <w:tc>
          <w:tcPr>
            <w:tcW w:w="1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8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(16,036)</w:t>
            </w:r>
          </w:p>
        </w:tc>
        <w:tc>
          <w:tcPr>
            <w:tcW w:w="18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$0.74 - $2.03</w:t>
            </w:r>
          </w:p>
        </w:tc>
        <w:tc>
          <w:tcPr>
            <w:tcW w:w="3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(152,931)</w:t>
            </w:r>
          </w:p>
        </w:tc>
        <w:tc>
          <w:tcPr>
            <w:tcW w:w="1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$1.53 - $6.96</w:t>
            </w:r>
          </w:p>
        </w:tc>
        <w:tc>
          <w:tcPr>
            <w:tcW w:w="30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4.02</w:t>
            </w:r>
          </w:p>
        </w:tc>
      </w:tr>
      <w:tr>
        <w:trPr>
          <w:trHeight w:val="209"/>
        </w:trPr>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4,102,414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5"/>
              </w:rPr>
              <w:t>$0.74 - $9.20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restricted stock unit activity for the three-month period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560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2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5600" w:type="dxa"/>
            <w:vAlign w:val="bottom"/>
          </w:tcPr>
          <w:p>
            <w:pPr>
              <w:spacing w:after="0"/>
              <w:rPr>
                <w:sz w:val="20"/>
                <w:szCs w:val="20"/>
                <w:color w:val="auto"/>
              </w:rPr>
            </w:pPr>
          </w:p>
        </w:tc>
        <w:tc>
          <w:tcPr>
            <w:tcW w:w="17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2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Value per Unit</w:t>
            </w: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2,480,633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281,688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March 31, 2026</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2,587,321</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11. Commitments and Contingencies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at times becomes a party to claims in the ordinary course of business. Management believes that the ultimate resolution of pending or threatened proceedings will not have a material effect on the financial position, results of operations or liquidity of the Company.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 place insurance coverage for litigation defense and claim settlement costs incurred in connection with these claims. We estimate the value of probable payments under these claims and probable insurance recoveries associated with existing claims based on management’s interpretations and estimates surrounding the claims and available or applicable insurance coverage.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March 31, 2026, Stereotaxis had $4.3 million of insurance receivables recorded in other current assets and $4.3 million of legal contingencies recorded in other current liabilities both related to ongoing litigation. We believe we have substantial defenses to these claims; however, the ultimate outcome of legal proceedings is inherently uncertain, and we will continue to evaluate developments and adjust our assessments as necessary.</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February 2024, a vendor filed financing statements under the Uniform Commercial Code (“UCC”) on underlying inventory for approximately $0.6 million. We believe the financing statements were filed without merit, and we are fully contesting the propriety of such actions.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April 2021, the Company entered into a letter of credit pursuant to the Lease agreement totaling approximately $1.8 million to be delivered in four equal instalments of which the first was delivered in April 2021, the second was delivered in July 2021, the third was delivered in October 2021, and the fourth was delivered in January 2022. The amount available under this letter of credit automatically reduces by one fortieth at the end of each month during the lease term and was completed in May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12. Subsequent Events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 April 14, 2026, the Company entered into a share sale agreement to acquire shares and other securities collectively representing 100% of the share capital and voting power of Robocath, a French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for $20.0 million in the form of cash, a number of shares of Stereotaxis common stock based on a value of $2.00 per share, or a combination of cash and shares at closing and, in addition, consideration contingently delivered up to $25.0 million after closing upon achieving certain key regulatory and commercial milestones. The acquisition is expected to close by the end of the third quarter of 2026 subject to customary closing conditions.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consolidated financial statements and notes thereto included in this Quarterly Report on Form 10-Q and in our Annual Report on Form 10-K for the year ended December 31, 2025. Operating results are not necessarily indicative of results that may occur in future periods.</w:t>
      </w:r>
    </w:p>
    <w:p>
      <w:pPr>
        <w:spacing w:after="0" w:line="17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i w:val="1"/>
          <w:iCs w:val="1"/>
          <w:color w:val="auto"/>
        </w:rPr>
        <w:t>This report includes various forward-looking statements that are subject to risks and uncertainties, many of which are beyond our control. Our actual results could differ materially from those anticipated in these forward-looking statements as a result of various factors, including those set forth in “Part II</w:t>
      </w:r>
    </w:p>
    <w:p>
      <w:pPr>
        <w:jc w:val="both"/>
        <w:ind w:firstLine="8"/>
        <w:spacing w:after="0" w:line="251" w:lineRule="auto"/>
        <w:tabs>
          <w:tab w:leader="none" w:pos="110"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Item 1A. Risk Factors” included in this Quarterly Report on Form 10-Q and in Part I, Item 1A, “Risk Factors,” included in our Annual Report on Form 10-K for the year ended December 31,2025, as well as various impacts related to our previously announced acquisition of Access Point Technologies EP, Inc. (“APT”) and our recently announced acquisitions of Robocath. Forward-looking statements discuss matters that are not historical facts. Forward-looking statements include, but are not limited to, discussions regarding our operating strategy, sales and marketing strategy, regulatory strategy, industry, economic conditions, financial condition, liquidity, capital resources, results of operations, the on-going impact of the coronavirus (“COVID -19”) pandemic and our response to it or any impact of a similar pandemic, and statements relating to our recent acquisition of APT including any benefits expected from the acquisition, potential strategic implications as a result of the acquisition, and the potential for achievement of the regulatory and commercial milestones that would trigger contingent payments in the transaction. Such statements include, but are not limited to, statements preceded by, followed by, or that otherwise include the words “believe”, “expects”, “anticipates”, “intends”, “estimates”, “projects”, “can”, “could”, “may”, “would”, or similar expressions. For those statements, we claim the protection of the safe harbor for forward-looking statements contained in the Private Securities Litigation Reform Act of 1995. You should not unduly rely on these forward-looking statements, which speak only as of the date on which they are made. They give our expectations regarding the future but are not guarantees. We undertake no obligation to update publicly or revise any forward-looking statements, whether as a result of new information, future events or otherwise, unless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Stereotaxis designs, manufactures and markets robotic systems, instruments and information systems for the interventional laboratory. Our proprietary robotic technology, Robotic Magnetic Navigation, fundamentally transforms endovascular interventions using precise computer-controlled magnetic fields to directly control the tip of flexible interventional catheters or devices. Direct control of the tip of an interventional device, in contrast to all manual hand-held devices that are controlled from their handle, can improve the precision, stability, reach and safety of these devices during procedures.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primary clinical focus has been electrophysiology, specifically cardiac ablation procedures for the treatment of arrhythmias. Cardiac ablation has become a well-accepted therapy for arrhythmias and a multi-billion-dollar medical device market with expectations for substantial long-term growth. We have shared our aspiration and a product strategy to expand the clinical focus of our technology to several additional endovascular indications including coronary, neuro, and peripheral interventions.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There is substantial real-world evidence and clinical literature for Robotic Magnetic Navigation in electrophysiology. Hundreds of electrophysiologists at over one hundred hospitals globally have treated over 150,000 arrhythmia patients with our robotic technology. Clinical use of our technology has been documented in over 500 clinical publications. Robotic Magnetic Navigation is designed to enable physicians to complete more complex interventional procedures with greater success and safety by providing image-guided delivery of catheters through the blood vessels and chambers of the heart to treatment sites. This is achieved using externally applied computer-controlled magnetic fields that govern the motion of the working tip of the catheter, resulting in improved navigation. The more flexible atraumatic design of catheters driven using magnetic fields may reduce the risk of patient harm and other adverse events. Performing the procedure from a control cockpit enables physicians to complete procedures in a safe location protected from x-ray exposure, with greater ergonomics, and improved efficiency. We believe these benefits can be applicable in other endovascular indications where navigation through complex vasculature is often challenging or unsuccessful and generates significant x-ray exposure, and we are investing in research and development in these areas.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Our primary products include 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Systems, the </w:t>
      </w:r>
      <w:r>
        <w:rPr>
          <w:rFonts w:ascii="Times New Roman" w:cs="Times New Roman" w:eastAsia="Times New Roman" w:hAnsi="Times New Roman"/>
          <w:sz w:val="18"/>
          <w:szCs w:val="18"/>
          <w:i w:val="1"/>
          <w:iCs w:val="1"/>
          <w:color w:val="auto"/>
        </w:rPr>
        <w:t>Synchrony &amp; SynX</w:t>
      </w:r>
      <w:r>
        <w:rPr>
          <w:rFonts w:ascii="Times New Roman" w:cs="Times New Roman" w:eastAsia="Times New Roman" w:hAnsi="Times New Roman"/>
          <w:sz w:val="18"/>
          <w:szCs w:val="18"/>
          <w:color w:val="auto"/>
        </w:rPr>
        <w:t xml:space="preserve"> Solutions, various interventional devices under the </w:t>
      </w:r>
      <w:r>
        <w:rPr>
          <w:rFonts w:ascii="Times New Roman" w:cs="Times New Roman" w:eastAsia="Times New Roman" w:hAnsi="Times New Roman"/>
          <w:sz w:val="18"/>
          <w:szCs w:val="18"/>
          <w:i w:val="1"/>
          <w:iCs w:val="1"/>
          <w:color w:val="auto"/>
        </w:rPr>
        <w:t>Map-iT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EMAGIN</w:t>
      </w:r>
      <w:r>
        <w:rPr>
          <w:rFonts w:ascii="Times New Roman" w:cs="Times New Roman" w:eastAsia="Times New Roman" w:hAnsi="Times New Roman"/>
          <w:sz w:val="18"/>
          <w:szCs w:val="18"/>
          <w:color w:val="auto"/>
        </w:rPr>
        <w:t xml:space="preserve"> brands, and other related devices. Through our strategic relationships with fluoroscopy system manufacturers, providers of catheters and electrophysiology mapping systems, and other parties, we offer our customers x-ray systems and other accessory diagnostic and therapeutic devices.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Systems are designed to enable physicians to complete complex interventional procedures by providing image-guided delivery of catheters through the blood vessels and chambers of the heart to treatment sites. This is achieved using externally applied magnetic fields that govern the motion of the working tip of the catheter, resulting in improved navigation, efficient procedures, and reduced x-ray exposure.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 the latest generation of the </w:t>
      </w:r>
      <w:r>
        <w:rPr>
          <w:rFonts w:ascii="Times New Roman" w:cs="Times New Roman" w:eastAsia="Times New Roman" w:hAnsi="Times New Roman"/>
          <w:sz w:val="18"/>
          <w:szCs w:val="18"/>
          <w:i w:val="1"/>
          <w:iCs w:val="1"/>
          <w:color w:val="auto"/>
        </w:rPr>
        <w:t>Genesis RMN</w:t>
      </w:r>
      <w:r>
        <w:rPr>
          <w:rFonts w:ascii="Times New Roman" w:cs="Times New Roman" w:eastAsia="Times New Roman" w:hAnsi="Times New Roman"/>
          <w:sz w:val="18"/>
          <w:szCs w:val="18"/>
          <w:color w:val="auto"/>
        </w:rPr>
        <w:t xml:space="preserve"> System, is designed to enhance the accessibility of Robotic Magnetic Navigation by reducing the lengthy construction cycle necessary to install prior generation RMN systems.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Synchrony</w:t>
      </w:r>
      <w:r>
        <w:rPr>
          <w:rFonts w:ascii="Times New Roman" w:cs="Times New Roman" w:eastAsia="Times New Roman" w:hAnsi="Times New Roman"/>
          <w:sz w:val="18"/>
          <w:szCs w:val="18"/>
          <w:color w:val="auto"/>
        </w:rPr>
        <w:t xml:space="preserve"> system is designed to digitize and modernize the interventional catheter lab. Synchrony’s ultra-high-definition display consolidates the viewing and control of all disparate systems in the lab, offering an enhanced procedure experience with custom layouts, streamlined workflows, an intuitive user interface, and a decluttered environment. Synchrony digitizes the video streams with full fidelity and ultra-low latency, offering crystal-clear visualization. Its architecture allows obsolescence protection for labs as new technologies are introduced in the future. Synchrony is made available with </w:t>
      </w:r>
      <w:r>
        <w:rPr>
          <w:rFonts w:ascii="Times New Roman" w:cs="Times New Roman" w:eastAsia="Times New Roman" w:hAnsi="Times New Roman"/>
          <w:sz w:val="18"/>
          <w:szCs w:val="18"/>
          <w:i w:val="1"/>
          <w:iCs w:val="1"/>
          <w:color w:val="auto"/>
        </w:rPr>
        <w:t>SynX</w:t>
      </w:r>
      <w:r>
        <w:rPr>
          <w:rFonts w:ascii="Times New Roman" w:cs="Times New Roman" w:eastAsia="Times New Roman" w:hAnsi="Times New Roman"/>
          <w:sz w:val="18"/>
          <w:szCs w:val="18"/>
          <w:color w:val="auto"/>
        </w:rPr>
        <w:t>, a cloud-based HIPAA and GDPR-compliant app that allows for secure remote connectivity, collaboration, recording, and monitoring of the cath lab.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technologies are sold alongside RMN systems and as stand-alone solutions.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1" w:name="page22"/>
    <w:bookmarkEnd w:id="2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pursue arrangements with fluoroscopy system manufacturers to provide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Systems in a bundled purchase offer for hospitals establishing robotic interventional operating rooms. An integrated x-ray system is critical for customer adoption of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Systems, and when offered as a bundled purchase offer with the </w:t>
      </w:r>
      <w:r>
        <w:rPr>
          <w:rFonts w:ascii="Times New Roman" w:cs="Times New Roman" w:eastAsia="Times New Roman" w:hAnsi="Times New Roman"/>
          <w:sz w:val="18"/>
          <w:szCs w:val="18"/>
          <w:i w:val="1"/>
          <w:iCs w:val="1"/>
          <w:color w:val="auto"/>
        </w:rPr>
        <w:t>RMN</w:t>
      </w:r>
      <w:r>
        <w:rPr>
          <w:rFonts w:ascii="Times New Roman" w:cs="Times New Roman" w:eastAsia="Times New Roman" w:hAnsi="Times New Roman"/>
          <w:sz w:val="18"/>
          <w:szCs w:val="18"/>
          <w:color w:val="auto"/>
        </w:rPr>
        <w:t xml:space="preserve"> System, may reduce the cost of acquisition, the ongoing cost of ownership, and the complexity of installation of a robotic electrophysiology practice.</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promote our full suite of products necessary for a typical hospital implementation, subject to regulatory approvals or clearances. This implementation requires a hospital to agree to an upfront capital payment and recurring payments. The upfront capital payment typically includes equipment and installation charges. The recurring payments typically include disposable costs for each procedure, equipment service costs beyond the warranty period, and ongoing software updates. In hospitals where our full suite of products has not been implemented, equipment upgrade or expansion can be implemented upon purchasing of the necessary upgrade or expansion.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Not all products have and/or require regulatory clearance in all the markets we serve. Please refer to “Regulatory Approval” in Item 1 for a description of the regulatory clearance, licensing, and/or approvals we currently have or are pursuing. Approval processes can be lengthy and uncertain, submissions may require revised or additional non-clinical and clinical data, and regulatory applications could be denied.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strategic relationships with technology leaders and innovators in the global interventional market. Through these strategic relationships we provide compatibility with our robotic magnetic navigation systems, integrated x-ray systems, digital imaging and 3D catheter location sensing technology, and compatible disposable interventional devices. The maintenance of these strategic relationships, or the establishment of equivalent alternatives, is critical to our commercialization efforts. There are no guarantees that any existing strategic relationships will continue, and efforts are ongoing to ensure the availability of compatible systems and devices and/or equivalent alternatives. We cannot provide assurance as to the timeline of the ongoing availability of such compatible systems or our ability to obtain equivalent alternatives on competitive terms or at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Developments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April 14, 2026, the Company entered into a share sale agreement to acquire shares and other securities collectively representing 100% of the share capital and voting power of Robocath, a French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for $20.0 million in the form of cash, a number of shares of Stereotaxis common stock based on a value of $2.00 per share, or a combination of cash and shares at closing and, in addition, consideration contingently delivered after closing upon achieving certain key regulatory and commercial milestones. The acquisition is expected to close by the end of the third quarter of 2026 subject to customary closing conditions. Robocath is a venture-backed innovator of advanced mechanical robotic technology for interventional cardiology and neurointerventions headquartered in Rouen, France.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Stereotaxis has continued to advance development and regulatory approval of its Robotic Magnetic Navigation systems and proprietary interventional devices.</w:t>
      </w:r>
    </w:p>
    <w:p>
      <w:pPr>
        <w:spacing w:after="0" w:line="16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the fourth quarter of 2025 we received FDA 510(k) regulatory clearance within the United States for the </w:t>
      </w:r>
      <w:r>
        <w:rPr>
          <w:rFonts w:ascii="Times New Roman" w:cs="Times New Roman" w:eastAsia="Times New Roman" w:hAnsi="Times New Roman"/>
          <w:sz w:val="18"/>
          <w:szCs w:val="18"/>
          <w:i w:val="1"/>
          <w:iCs w:val="1"/>
          <w:color w:val="auto"/>
        </w:rPr>
        <w:t>GenesisX RMN</w:t>
      </w:r>
      <w:r>
        <w:rPr>
          <w:rFonts w:ascii="Times New Roman" w:cs="Times New Roman" w:eastAsia="Times New Roman" w:hAnsi="Times New Roman"/>
          <w:sz w:val="18"/>
          <w:szCs w:val="18"/>
          <w:color w:val="auto"/>
        </w:rPr>
        <w:t xml:space="preserve"> System. This latest generation of the RMN System is designed to significantly enhance the accessibility of Robotic Magnetic Navigation by eliminating the lengthy construction cycle necessary to install prior generation RMN systems. In October 2025, we attained CE Mark for the </w:t>
      </w:r>
      <w:r>
        <w:rPr>
          <w:rFonts w:ascii="Times New Roman" w:cs="Times New Roman" w:eastAsia="Times New Roman" w:hAnsi="Times New Roman"/>
          <w:sz w:val="18"/>
          <w:szCs w:val="18"/>
          <w:i w:val="1"/>
          <w:iCs w:val="1"/>
          <w:color w:val="auto"/>
        </w:rPr>
        <w:t>Synchrony</w:t>
      </w:r>
      <w:r>
        <w:rPr>
          <w:rFonts w:ascii="Times New Roman" w:cs="Times New Roman" w:eastAsia="Times New Roman" w:hAnsi="Times New Roman"/>
          <w:sz w:val="18"/>
          <w:szCs w:val="18"/>
          <w:color w:val="auto"/>
        </w:rPr>
        <w:t xml:space="preserve"> Solution and in the first quarter of 2026 we received FDA 510(k) regulatory clearance within the United States.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Stereotaxis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catheter, a robotically navigated magnetic ablation catheter designed to perform minimally invasive cardiac ablation procedures, obtained the CE marking in Europe during the first quarter, 2025 and U.S. Food and Drug Administration (FDA) 510(k) clearance in January 2026. </w:t>
      </w:r>
      <w:r>
        <w:rPr>
          <w:rFonts w:ascii="Times New Roman" w:cs="Times New Roman" w:eastAsia="Times New Roman" w:hAnsi="Times New Roman"/>
          <w:sz w:val="18"/>
          <w:szCs w:val="18"/>
          <w:i w:val="1"/>
          <w:iCs w:val="1"/>
          <w:color w:val="auto"/>
        </w:rPr>
        <w:t>MAGiC Sweep</w:t>
      </w:r>
      <w:r>
        <w:rPr>
          <w:rFonts w:ascii="Times New Roman" w:cs="Times New Roman" w:eastAsia="Times New Roman" w:hAnsi="Times New Roman"/>
          <w:sz w:val="18"/>
          <w:szCs w:val="18"/>
          <w:color w:val="auto"/>
        </w:rPr>
        <w:t xml:space="preserve">™, the first robotically navigated high-density EP mapping catheter, received U.S. Food and Drug Administration (FDA) 510(k) clearance in July 2025. We are in the process of obtaining necessary approvals for both devices in other geographies. We are also currently seeking regulatory clearances for the </w:t>
      </w:r>
      <w:r>
        <w:rPr>
          <w:rFonts w:ascii="Times New Roman" w:cs="Times New Roman" w:eastAsia="Times New Roman" w:hAnsi="Times New Roman"/>
          <w:sz w:val="18"/>
          <w:szCs w:val="18"/>
          <w:i w:val="1"/>
          <w:iCs w:val="1"/>
          <w:color w:val="auto"/>
        </w:rPr>
        <w:t>EMAGIN</w:t>
      </w:r>
      <w:r>
        <w:rPr>
          <w:rFonts w:ascii="Times New Roman" w:cs="Times New Roman" w:eastAsia="Times New Roman" w:hAnsi="Times New Roman"/>
          <w:sz w:val="18"/>
          <w:szCs w:val="18"/>
          <w:color w:val="auto"/>
        </w:rPr>
        <w:t xml:space="preserve"> 5F catheter guide designed to robotically navigate tortuous venous and arterial vasculature.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Tariff and Trade Regulation Update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Beginning in 2025, the U.S. implemented a baseline tariff framework on most imports with higher country and product-specific rates for certain trading partners, including Mexico, Germany, Japan and China, among others, alongside reciprocal measures announced by other jurisdictions. In February 2026, the U.S. Supreme Court ruled that these tariffs levied under the International Emergency Economic Powers Act (“IEEPA”) are unconstitutional. As a result of this ruling, the U.S. Court of International Trade issued an order directing the U.S. Customs and Border Protection (the “CBP”) agency to begin formalizing a process for refunds. On April 20, 2026, the CBP launched an online portal that can be used to submit IEEPA tariff refund requests. All requests will be reviewed by the CBP to determine validity prior to the issuance of refunds. In response to the Supreme Court’s ruling, a new 10% tariff for all imports under Section 122 of the Trade Act of 1974 was imposed. These tariffs took effect on February 24, 2026, and will remain in effect for 150 days, the maximum period that Section 122 permits without congressional action. However, previous exclusions, such as for the United States-Mexico-Canada Agreement (“USMCA”), remain in place.</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source certain sub-assemblies from Mexico, all of which qualify under USMCA; therefore, these items were not subject to increased tariff, and the effect on our cost of revenues for the three months ended March 31, 2026, was immaterial. We currently expect our Mexican sub-assemblies to continue to qualify under USMCA, and we do therefore not expect a material impact from changes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22" w:name="page23"/>
    <w:bookmarkEnd w:id="2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Some of our suppliers have also incurred incremental tariffs and have passed or may pass on those additional costs to us. These pass-through tariffs and other specific tariff actions against steel and aluminum have resulted in an effective rate of up to 60 percent (“tariff stacking”) on certain specialty alloys that we source from Europe and Japan. This action has not had a material direct impact on our operations to date, but the long-term effects of these and other existing or future trade measures are difficult to predict.</w:t>
      </w:r>
    </w:p>
    <w:p>
      <w:pPr>
        <w:spacing w:after="0" w:line="17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also import certain raw materials and finished goods from outside of the U.S. that are subject to tariffs, including our proprietary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Catheter which is manufactured in Germany and currently distributed principally in Europe. This device received 510(k) clearance in the US in January 2026, and we are currently ramping up production of this device as a replacement for catheters previously supplied by to users by J&amp;J. Tariffs could render the US product launch of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Catheter uneconomical, which would, in turn, slow adoption of our Robotic Magnetic Navigation (“RMN”) platform.</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we import limited quantities of R&amp;D consumables and manufacturing inputs from China and, through our partner MicroPort Scientific Corporation, sell U.S.-manufactured RMN systems into China. Both inbound materials and outbound finished products are now subject to tariffs, which we expect to continue to have an adverse impact on sales of RMN systems in China. If tariffs increase, the impact could be material, particularly to sales of RMN systems in China. We continue to pursue mitigation strategies.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tariffs and other trade measures recognized in total cost of revenue were not material. Future changes to tariff rates and the imposition of new tariffs by the U.S. and/or other countries could result in a material impact to our results of operations. The ultimate impact of changes to tariffs and trade barriers will depend on various factors, including the timing, amount, scope, and nature of any tariffs or trade barriers that are implemented, all of which could have a material adverse effect on our business, financial condition, or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Risks and Uncertainties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Future results of operations and liquidity could be materially adversely impacted by uncertainties in macroeconomic and geopolitical factors in both the U.S. and globally including continuing introduction of new or modification of existing tariffs or trade barriers, supply chain challenges, inflationary pressures, elevated interest rates, and disruptions in commodity markets stemming from conflicts, such as those between Russia and Ukraine and conflicts in the Middle East, including Israel and Iran. The Company continues to experience difficulties with periodic worldwide supply chain disruptions, including shortages and inflationary pressures, tariffs and other trade regulations that are or may be imposed, and logistics delays which make it difficult for us to source parts and ship our products. We continue to evaluate the macroeconomics business environment, taking action to increase inventory levels where appropriate and engaging in discussions with our vendors on contractual obligations, but we cannot guarantee that our business activities will not be impacted more severely in the future. Our suppliers and contract manufacturers have experienced, and may continue to experience, similar difficulties. If our manufacturing operations or supply chains are materially interrupted, it may not be possible for us to timely manufacture or service our products at required levels, or at all. Changes in economic conditions, government shutdowns, tariff escalation, retaliatory measures and new import restrictions could lead to higher inflation than previously experienced or expected, which could, in turn create supply shortages as companies seek alternative sources of supply and adjust their logistics and transportation routes. As a result of these factors, we may be unable to raise the prices of our products sufficiently to keep up with the rate of inflation, especially tariff-induced inflation. A material reduction or interruption in any of our manufacturing processes or a substantial increase in costs would have a material adverse effect on our business, operating results, and financial condition.</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Many of our hospital customers, for whom the purchase of our system involves a significant capital purchase which may be part of a larger construction project at the customer site (typically the construction of a new building), may themselves be under similar pressures. Hospitals continue to experience challenges with staffing and cost pressures as supply chain constraints and inflation drive up operating costs. Hospitals may also be adversely affected by the liquidity concerns driven by elevated interest rates and the broader macroeconomic environment. These factors could cause delays or cancellations of current purchase orders and other commitments and may exacerbate the long and variable sales and installation cycles for our robotic magnetic navigation systems. Our hospital customers have also experienced challenges in sourcing supplies, such as catheters, needed to perform procedures. Such shortages have, and may continue to, put pressure on procedures and our disposable revenue. Delays in order placement, cancellation of existing orders and reduced demand or availability of our disposable products all would have a material adverse effect on our business, financial condition, and results of operations.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disruption to the capital markets could negatively impact our ability to raise capital. If the capital markets are disrupted for an extended period and we need to raise additional capital, such capital may not be available on acceptable terms, or at all. Disruptions to the capital markets and other financing sources could also negatively impact our hospital customers’ ability to raise capital or otherwise obtain financing to fund their operations and capital projects. Such could result in delayed spending on current projects, a longer sales cycle for new projects where a large capital commitment is required, and decreased demand for our disposable products as well as an increased risk of customer defaults or delays in payments for our system installations, service contracts and disposable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spacing w:after="0" w:line="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macroeconomic factors, occurrences similar to the COVID-19 pandemic may negatively affect demand for both our systems and our disposable products. In the past, we have experienced business disruptions, including travel restrictions on us and our third-party distributors, which negatively affected our complex sales, marketing, installation, distribution and service network relating to our products and services. We also experienced reductions in demand for our disposable products as our healthcare customers (physicians and hospitals) re-prioritized the treatment of patients and diverted resources away from non-pandemic areas, leading to the performance of fewer procedures in which our disposable products are used. The impact varied widely over time by individual geography. For instance, in 2022, procedure volumes were challenged by periodic resurgences of COVID-19, ongoing hospital staffing issues and other factors. In the first quarter of 2023, COVID-19 resurgences in China continued to negatively impact our procedure volumes in that region, but as infections and hospitalization decreased, we saw a recovery of procedure volumes with no further impacts in the year. Significant decreases to our capital or recurring revenues could have a material adverse effect on our business, operating results, and financial condition. We continue to anticipate periodic disruptions to our manufacturing operations, supply chains, procedures volumes, service activities, and capital system orders and placements relating to new or ongoing periodic resurgences of pandemic-related issues, any of which could have a material adverse effect on our business, financial condition, results of operations, or cash flows.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July 2024 acquisition of APT EP, Inc., we are managing APT’s ongoing business of manufacturing, commercializing, development and sales of APT’s catheters and related products and services. The manufacturing process of catheters is complex, highly technical, and our prior experience in this field is dated. The process can be subject to periodic worldwide supply chain disruptions, including labor shortages and inflationary pressures, tariffs or other trade restrictions, and logistics delays which make it difficult for us to source parts and ship our products. We may require a higher level of overhead than currently anticipated. Our ability to successfully manage this new aspect of our business will depend, in part, upon management’s ability to design and implement strategic initiatives that address not only the integration of APT into us, but also the increased scope of the combined business with its associated increased costs and complexity. We are still integrating the businesses and implementing safeguards to minimize any negative impacts on our financial position, results of operations and cash flows post-acquisition.</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our inception, we have generated significant losses. As of March 31, 2026, we have incurred cumulative net losses of approximately $589.2 million. In 2026, the Company plans to advance adoption of its robotic magnetic navigation systems and its proprietary devices in those markets where regulatory clearance has been received and to work with regulatory approval authorities in those geographies where approval is pending, with the goal of furthering clinical adoption and new system placements. We expect to incur additional losses in 2026 as we continue the development and commercialization of our products, conduct our research and development activities, advance new products into clinical development from our existing research programs and fund additional sales and marketing initiatives. During the remainder of 2026, we will continue to monitor the impact of the macroeconomic environment on our project timing, regulatory approvals, customer and supplier operations, and our operating results. Until we can generate significant cash flow from our operations, we expect to continue to fund our operations with cash resources primarily generated from the proceeds of our past and future public offerings, and private sales of our equity securities. We cannot accurately predict the timing and amount of our utilization of capital, which will depend on several factors outside of our control.</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believe our existing cash and cash equivalents, including the proceeds from our July 2025 equity raise, will be sufficient to fund our operating expenses and capital equipment requirements, in light of the macroeconomic environment, we cannot guarantee that we will not need additional funding in the future. We will continue to explore financing alternatives, and we cannot guarantee that additional financing will be available on acceptable terms or that such financing will not be dilutive to our stockholders. If adequate funds are not available to us, we could be required to delay development or commercialization of new products, to license to third parties the rights to commercialize products or technologies that we would otherwise seek to commercialize ourselves, or to reduce the sales, marketing, customer support or other resources devoted to our products, any of which could have a material adverse effect on our business, financial condition, and operational results. In addition, we could be required to cease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estimates and judgments that affect the reported amounts of assets, liabilities, revenues and expenses, and related disclosures. We review our estimates and judgments on an on-going basis. We base our estimates and judgments on historical experience and on various other assumptions that we believe to be reasonable under the circumstances. Actual results may differ from these estimates. We believe the following accounting policies are critical to the judgments and estimates we use in preparing our consolidated financial statements. For a complete listing of our critical accounting policies, please refer to our Annual Report on Form 10-K for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generate revenue from the initial capital sales of systems as well as recurring revenue from the sale of our proprietary disposable devices, from royalties paid to the Company on the sale of various devices as provided by co-development and co-placement arrangements, and from other recurring revenue including ongoing software updates and service contracts.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Accounting Standards Codification Topic 606 (“ASC 606”), “Revenue from Contracts with Customers,” we account for a contract with a customer when there is a legally enforceable contract between the Company and the customer, the rights of the parties are identified, the contract has commercial substance, and collectability of the contract consideration is probable. We record our revenue based on consideration specified in the contract with each customer, net of any taxes collected from customers that are remitted to government authorities.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contracts containing multiple products and services the Company accounts for individual products and services as separate performance obligations if they are distinct, which is if a product or service is separately identifiable from other items in the bundled package, and if a customer can benefit from it on its own or with other resources that are readily available to the customer. The Company recognizes revenues as the performance obligations are satisfied by transferring control of the product or service to a customer.</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arrangements with multiple performance obligations, revenue is allocated to each performance obligation based on its relative standalone selling price. Standalone selling prices are based on observable prices at which the Company separately sells the products or services. If a standalone selling price is not directly observable, then the Company estimates the standalone selling price considering market conditions and entity-specific factors including, but not limited to, features and functionality of the products and services and market conditions. The Company regularly reviews standalone selling prices and updates these estimates as necessary.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64" w:orient="portrait"/>
          <w:cols w:equalWidth="0" w:num="1">
            <w:col w:w="11240"/>
          </w:cols>
          <w:pgMar w:left="320" w:top="688" w:right="339" w:bottom="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auto"/>
        </w:rPr>
        <w:t>Systems:</w:t>
      </w:r>
    </w:p>
    <w:p>
      <w:pPr>
        <w:spacing w:after="0" w:line="225"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Contracts related to the sale of systems typically contain separate obligations for the delivery of system(s), installation, and a service-type warranty for one year following installation. Revenue is recognized when the Company transfers control to the customer, which is generally at the point when acceptance occurs that indicates customer acknowledgment of delivery or installation, depending on the terms of the arrangement. Revenue from service-type warranties is included in Other Recurring Revenue and is recognized ratably typically over the first year following installation of the system as the customer receives the service-type warranty throughout the period. The Company’s system contracts generally do not provide a right of return. Systems may be covered by a one-year assurance-type warranty in lieu of a service-type warranty. Assurance-type warranty costs were less than $0.1 million for the three months ended March 31, 2026, and 2025.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Disposables:</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Revenue from sales of disposable products is recognized when control is transferred to the customers, which generally occurs at the time of shipment, but can also occur at the time of delivery depending on the customer arrangement. Disposable products are covered by an assurance type warranty that provides for the return of defective products. Warranty costs were not material for the three months ended March 31, 2026, and 2025.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Royalty:</w:t>
      </w:r>
    </w:p>
    <w:p>
      <w:pPr>
        <w:spacing w:after="0" w:line="225"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receives royalties on the sale of various devices as provided by co-development and co-placement arrangements with various manufacturers.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Other Recurring Revenue:</w:t>
      </w:r>
    </w:p>
    <w:p>
      <w:pPr>
        <w:spacing w:after="0" w:line="225"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Other recurring revenue includes revenue from product maintenance plans, service-type warranties, and other post warranty maintenance. Revenue from services and software enhancements, including service-type warranties, are deferred and amortized over the service or update period, which is typically one year. Revenue related to services performed on a time-and-materials basis is recognized when performed.</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invoices its customers based on the billing schedules in its sales arrangements. Contract assets primarily represent the difference between the revenue that was earned but not billed on service contracts and revenue from system contracts that was recognized based on the relative selling price of the related performance obligations and the contractual billing terms in the arrangements. Customer deposits primarily relate to future system sales but can also include deposits on disposable sales. Deferred revenue is primarily related to service contracts, for which the service fees are billed up-front, generally quarterly or annually, and for amounts billed in advance for system contracts for which some performance obligations remain outstanding. For service contracts, the associated deferred revenue is generally recognized ratably over the service period. For system contracts, the associated deferred revenue is recognized when the remaining performance obligations are satisfied. See Note 2 to the consolidated financial statements for additional details on deferred revenue. The Company did not have any impairment losses on its contract assets for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Recognized from the Costs to Obtain a Contract with a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determined that sales incentive programs for the Company’s sales team meet the requirements to be capitalized as the Company expects to generate future economic benefits from the related revenue generating contracts after the initial capital sales transaction. The costs capitalized as contract acquisition costs included in prepaid expenses and other assets in the Company’s consolidated balance sheets were approximately $0.2 million and $0.1 million as of March 31, 2026, and December 31, 2025, respectively. The Company did not incur any impairment losses during any of the periods presented.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Contracts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of systems revenue include direct product costs, installation labor and other costs including estimated assurance-type warranty costs and initial training costs, when applicable. These costs are recognized at the time of sale. Costs of disposable revenue include direct product costs and estimated warranty costs and are recognized at the time of sale. Cost of revenue from services and license fees are recognized when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Stock compensation expense, which is a non-cash charge, results from stock, stock option, non-qualified stock options, stock appreciation rights, and restricted share grants made to employees, directors, and third-party consultants at the fair value of the grants. For time-based awards, the fair value of options and stock appreciation rights granted was determined using the Black-Scholes valuation method which gives consideration to the estimated value of the underlying stock at the date of grant, the exercise price of the option, the expected dividend yield and volatility of the underlying stock, the expected life of the option and the corresponding risk-free interest rate. The fair value of the grants of stock and restricted shares and units was determined based on the closing price of our stock on the date of grant. Stock compensation expense for options, stock appreciation rights and for time-based restricted share grants and units is amortized on a straight-line basis over the vesting period of the underlying issue, generally over four years except for grants to directors which are generally earned over a period of six months. Stock compensation expense for performance-based restricted shares, if any, is amortized on a straight-line basis over the anticipated vesting period and is subject to adjustment based on the actual achievement of objectives. Compensation expense is recognized only for those awards expected to vest, net of actual forfeitures. Estimates of the expected life of options have been based on the average of the vesting and expiration periods, which is the simplified method under general accounting principles for share-based payments. Estimates of volatility utilized in calculating stock-based compensation have been prepared based on historical data. Actual experience to date has been consistent with these estimates.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market-based awards, stock-based compensation expense is recognized over the minimum service period regardless of whether or not the market target is probable of being achieved. The fair value of such awards is estimated on the grant date using Monte Carlo simulations.</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amount of compensation expense to be recorded in future periods may increase if we make additional grants of options, stock appreciation rights or restricted shares, or if we change our achievement expectations for performance based grants. The amount of expense to be recorded in future periods may decrease if the requisite service periods are not completed or if achievement expectations for performance based grants become improbable.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and 2025</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decreased from $7.5 million for the three months ended March 31, 2025, to $6.3 million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2026, a decrease of 16%. Revenue from the sales of systems decreased to $1.3 million for the three months ended March 31, 2026, from $2.0 million for the three months ended March 31, 2025, driven by decreased sales volume in the current year period. Revenue from sales of disposable interventional devices, service, and accessories decreased to approximately $5.0 million for the three months ended March 31, 2026, from $5.5 million for the three months ended March 31, 2025, a decrease of approximately 10%. The decrease was lower current period disposable sales volumes related to the transition from the Johnson and Johnson catheter to our proprietary </w:t>
      </w:r>
      <w:r>
        <w:rPr>
          <w:rFonts w:ascii="Times New Roman" w:cs="Times New Roman" w:eastAsia="Times New Roman" w:hAnsi="Times New Roman"/>
          <w:sz w:val="18"/>
          <w:szCs w:val="18"/>
          <w:i w:val="1"/>
          <w:iCs w:val="1"/>
          <w:color w:val="auto"/>
        </w:rPr>
        <w:t>MAGiC</w:t>
      </w:r>
      <w:r>
        <w:rPr>
          <w:rFonts w:ascii="Times New Roman" w:cs="Times New Roman" w:eastAsia="Times New Roman" w:hAnsi="Times New Roman"/>
          <w:sz w:val="18"/>
          <w:szCs w:val="18"/>
          <w:color w:val="auto"/>
        </w:rPr>
        <w:t xml:space="preserve"> catheter in the current year period.</w:t>
      </w:r>
    </w:p>
    <w:p>
      <w:pPr>
        <w:spacing w:after="0" w:line="18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decreased from $3.4 million for the three months ended March 31, 2025, to $2.5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a decrease of approximately 27%. As a percentage of our total revenue, overall gross margin increased to 60% for the three months ended March 31, 2026, from 54% for the three months ended March 31, 2025, primarily due to changes in product mix. Cost of revenue for systems sold decreased from $1.7 million for the three months ended March 31, 2025, to $0.8 million for the three months ended March 31, 2026, driven by decreased system sales volume in the current year period. Gross margin for systems was $0.3 million for the three months ended March 31, 2025, compared to $0.5 million for the three months ended March 31, 2026. Cost of revenue for disposables, service, and accessories remained consistent at $1.7 million for the three months ended March 31, 2025 and 2026. Gross margin for disposables, service, and accessories was 66% for the three months ended March 31, 2026, compared to 68% for the three months ended March 31, 2025. Gross margin for disposables, service, and accessories decreased due to changes in product mix in the current period.</w:t>
      </w:r>
    </w:p>
    <w:p>
      <w:pPr>
        <w:spacing w:after="0" w:line="18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increased from $2.3 million for the three months ended March 31, 2025,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$2.4 million for the three months ended March 31, 2026, an increase of approximately 2%. This increase was primarily due to project timing partially offset by lower headcount-related costs.</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decreased from $3.1 million for the three months ended March 31, 2025, to $2.6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three months ended March 31, 2026. This decrease was primarily due to lower headcount-related costs in the current year period.</w:t>
      </w:r>
    </w:p>
    <w:p>
      <w:pPr>
        <w:spacing w:after="0" w:line="15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include finance, information systems, legal, and general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amortization of acquisition related intangible assets, and the gain or loss associated with the remeasurement of the acquisition related contingent consideration. General and administrative expenses increased from $4.5 million for the three months ended March 31, 2025, to $4.8 million for the three months ended March 31, 2026, an increase of approximately 6%. This increase was primarily driven by the change in contingent consideration expense and costs related to the pending Robocath acquisition, partially offset by lower headcount-related costs in the current year period.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w:t>
      </w:r>
      <w:r>
        <w:rPr>
          <w:rFonts w:ascii="Times New Roman" w:cs="Times New Roman" w:eastAsia="Times New Roman" w:hAnsi="Times New Roman"/>
          <w:sz w:val="18"/>
          <w:szCs w:val="18"/>
          <w:color w:val="auto"/>
        </w:rPr>
        <w:t>. Net interest income remained consistent at $0.1 million for the three months ended March 31, 2025, and 2026.</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Liquidity refers to the liquid financial assets available to fund our business operations and pay for near-term obligations. These liquid financial assets consist of cash, cash equivalents, and investments.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we had $14.6 million of cash and cash equivalents. We had working capital of $12.9 million as of March 31, 2026, compared to $11.5 million as of December 31, 2025.</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July 2025, we closed a registered direct offering of our common stock for $8.5 million in gross proceeds before deducting offering expenses. In November 2025, we completed the Additional Closing from the July direct registering offering for $4.0 million in gross proceeds deducting offering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13, 2026, we filed a new shelf registration statement on Form S-3 (File No. 333-294288) to register (i) $100.0 million of debt securities, common stock, preferred stock, warrants, rights or units consisting of any two or more of such securities (the “2026 Shelf”) and (ii) $50 million shares of common stock to be issued under the at-the-market offering program with Roth Capital described below. The 2026 Shelf was declared effective by the SEC on March 20, 2026.</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noted above, in August 2025, we entered into a sales agreement with Roth Capital Markets (“Roth”), as sales agent and/or principal, under which we may issue and sell up to $50.0 million of our common stock. On March 13, 2026, we entered into a first amendment to the sales agreement, which modified the original sales agreement to, among other things, reflect our filing of a new Registration Statement on Form S-3 with the SEC on March 13, 2026 and set the maximum amount of shares of our common stock that we may offer and sell through or to Roth at $50 million from the date of the amendment to the sales agreement, subject to certain limitations set forth in the amendment. During the three months ended March 31, 2026, we sold an aggregate of 2,005,308 shares of common stock under the sales agreement, at an average price of approximately $2.39 per share for gross proceeds of $4.8 million and net proceeds of $4.6 million, after deducting Roth’s commission and other expenses. As of March 31, 2026, $50.0 million of common stock remained available to be sold under this facility, subject to certain conditions as specified in the sales agreement.</w:t>
      </w:r>
    </w:p>
    <w:p>
      <w:pPr>
        <w:spacing w:after="0" w:line="19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additional information on our “at-the-market” facility, refer to Note 10, </w:t>
      </w:r>
      <w:r>
        <w:rPr>
          <w:rFonts w:ascii="Times New Roman" w:cs="Times New Roman" w:eastAsia="Times New Roman" w:hAnsi="Times New Roman"/>
          <w:sz w:val="18"/>
          <w:szCs w:val="18"/>
          <w:i w:val="1"/>
          <w:iCs w:val="1"/>
          <w:color w:val="auto"/>
        </w:rPr>
        <w:t>Convertible Preferred Stock and Stockholders’ Equity</w:t>
      </w:r>
      <w:r>
        <w:rPr>
          <w:rFonts w:ascii="Times New Roman" w:cs="Times New Roman" w:eastAsia="Times New Roman" w:hAnsi="Times New Roman"/>
          <w:sz w:val="18"/>
          <w:szCs w:val="18"/>
          <w:color w:val="auto"/>
        </w:rPr>
        <w:t xml:space="preserve"> of the notes to the consolidated financial statements, under the subheading </w:t>
      </w:r>
      <w:r>
        <w:rPr>
          <w:rFonts w:ascii="Times New Roman" w:cs="Times New Roman" w:eastAsia="Times New Roman" w:hAnsi="Times New Roman"/>
          <w:sz w:val="18"/>
          <w:szCs w:val="18"/>
          <w:i w:val="1"/>
          <w:iCs w:val="1"/>
          <w:color w:val="auto"/>
        </w:rPr>
        <w:t>At-the-Market Offering Program</w:t>
      </w:r>
      <w:r>
        <w:rPr>
          <w:rFonts w:ascii="Times New Roman" w:cs="Times New Roman" w:eastAsia="Times New Roman" w:hAnsi="Times New Roman"/>
          <w:sz w:val="18"/>
          <w:szCs w:val="18"/>
          <w:color w:val="auto"/>
        </w:rPr>
        <w:t>, included within this report.</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flow by operating, investing and financing activities for the three months ended March 31, 2026, and 2025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380" w:type="dxa"/>
            <w:vAlign w:val="bottom"/>
            <w:gridSpan w:val="6"/>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560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8"/>
                <w:szCs w:val="18"/>
                <w:color w:val="auto"/>
              </w:rPr>
            </w:pPr>
          </w:p>
        </w:tc>
      </w:tr>
      <w:tr>
        <w:trPr>
          <w:trHeight w:val="21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used in operating activities</w:t>
            </w:r>
          </w:p>
        </w:tc>
        <w:tc>
          <w:tcPr>
            <w:tcW w:w="100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(3,442)</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Cash flow used in investing activities</w:t>
            </w:r>
          </w:p>
        </w:tc>
        <w:tc>
          <w:tcPr>
            <w:tcW w:w="10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w:t>
            </w:r>
          </w:p>
        </w:tc>
        <w:tc>
          <w:tcPr>
            <w:tcW w:w="34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provided by financing activities</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4,716</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cash used in operating activities</w:t>
      </w:r>
      <w:r>
        <w:rPr>
          <w:rFonts w:ascii="Times New Roman" w:cs="Times New Roman" w:eastAsia="Times New Roman" w:hAnsi="Times New Roman"/>
          <w:sz w:val="18"/>
          <w:szCs w:val="18"/>
          <w:color w:val="auto"/>
        </w:rPr>
        <w:t>. We used approximately $3.4 million and $1.8 million of cash for operating activities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2026, and 2025, respectively. The increase in cash used in operating activities was driven by changes in working capital.</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Net cash used in investing activities</w:t>
      </w:r>
      <w:r>
        <w:rPr>
          <w:rFonts w:ascii="Times New Roman" w:cs="Times New Roman" w:eastAsia="Times New Roman" w:hAnsi="Times New Roman"/>
          <w:sz w:val="18"/>
          <w:szCs w:val="18"/>
          <w:color w:val="auto"/>
        </w:rPr>
        <w:t>. We used less than $0.1 million of cash for investing activities during the three months ended March 31, 2026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purchase of equipment. We did not use any cash for investing activities during the three months ended March 31, 2025.</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We generated approximately $4.7 million of cash from financing activities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2026, and less than $0.1 million during the three months ended March 31, 2025. The cash generated in 2026 was primarily driven by the proceeds from the at-the-market offering during the first quarter. The cash generated in in 2025 was driven by the proceeds from issuance of stock from the exercise of options, net of issuance costs, and from our employee stock purchase program.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Resources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2026, the Company did not have any debt.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do not currently have, nor have we ever had,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In addition, we do not engage in trading activities involving non-exchange traded contracts. As a result, we are not materially exposed to any financing, liquidity, market, or credit risk that could have arisen if we had engaged in these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Disclosure Controls and Procedures: </w:t>
      </w:r>
      <w:r>
        <w:rPr>
          <w:rFonts w:ascii="Times New Roman" w:cs="Times New Roman" w:eastAsia="Times New Roman" w:hAnsi="Times New Roman"/>
          <w:sz w:val="18"/>
          <w:szCs w:val="18"/>
          <w:color w:val="auto"/>
        </w:rPr>
        <w:t>The Company’s management, with the participation of the Company’s Chief Executive Officer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w:t>
      </w:r>
    </w:p>
    <w:p>
      <w:pPr>
        <w:sectPr>
          <w:pgSz w:w="11900" w:h="16838" w:orient="portrait"/>
          <w:cols w:equalWidth="0" w:num="1">
            <w:col w:w="11240"/>
          </w:cols>
          <w:pgMar w:left="320" w:top="684" w:right="339" w:bottom="0" w:gutter="0" w:footer="0" w:header="0"/>
        </w:sectPr>
      </w:pPr>
    </w:p>
    <w:bookmarkStart w:id="27" w:name="page28"/>
    <w:bookmarkEnd w:id="27"/>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Chief Executive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[RESERVED]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9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140" w:type="dxa"/>
            <w:vAlign w:val="bottom"/>
            <w:tcBorders>
              <w:top w:val="single" w:sz="8" w:color="auto"/>
              <w:bottom w:val="single" w:sz="8" w:color="0000EE"/>
            </w:tcBorders>
            <w:gridSpan w:val="12"/>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Restated Articles of Incorporation of the Registrant, incorporated by reference to Exhibit 3.1 of the Registrant’s Form 10-Q (File No. 000-</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50884) for the fiscal quarter ended September 30, 2004.</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Certificate of Amendment to Amended and Restated Certificate of Incorporation,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Registrant’s Form 8-K (File No. 000-50884) filed on July 10, 2012.</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10140" w:type="dxa"/>
            <w:vAlign w:val="bottom"/>
            <w:gridSpan w:val="12"/>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Certificate of Designations, Preferences and Rights of Series A Convertible Preferred Stock, incorporated by reference to Exhibit 3.1 of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2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Registrant’s Current Report on Form 8-K (File No. 001-36159) filed on September 30, 2016.</w:t>
              </w:r>
            </w:hyperlink>
          </w:p>
        </w:tc>
        <w:tc>
          <w:tcPr>
            <w:tcW w:w="2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101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Restated Bylaws of the Registrant, incorporated by reference to Exhibit 3.2 of the Registrant’s Form 10-Q (File No. 000-50884) for the</w:t>
              </w:r>
            </w:hyperlink>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fiscal quarter ended September 30, 2004.</w:t>
              </w:r>
            </w:hyperlink>
          </w:p>
        </w:tc>
        <w:tc>
          <w:tcPr>
            <w:tcW w:w="7180" w:type="dxa"/>
            <w:vAlign w:val="bottom"/>
            <w:gridSpan w:val="11"/>
          </w:tcPr>
          <w:p>
            <w:pPr>
              <w:spacing w:after="0"/>
              <w:rPr>
                <w:sz w:val="17"/>
                <w:szCs w:val="17"/>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9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Amendment No. 1 to Sales Agreement with Roth Capital Partners LLC, dated March 13, 2026 (incorporated by reference to Exhibit 1.3 of</w:t>
              </w:r>
            </w:hyperlink>
          </w:p>
        </w:tc>
        <w:tc>
          <w:tcPr>
            <w:tcW w:w="160" w:type="dxa"/>
            <w:vAlign w:val="bottom"/>
            <w:gridSpan w:val="3"/>
          </w:tcPr>
          <w:p>
            <w:pPr>
              <w:spacing w:after="0"/>
              <w:rPr>
                <w:sz w:val="24"/>
                <w:szCs w:val="24"/>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40" w:type="dxa"/>
            <w:vAlign w:val="bottom"/>
            <w:gridSpan w:val="12"/>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the Registrant’s Registration Statement on Form S-3 (File No. 333-294288).</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4"/>
            <w:shd w:val="clear" w:color="auto" w:fill="0000EE"/>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100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Rule 13a-14(a)/15d-14(a) Certification (pursuant to Section 302 of the Sarbanes-Oxley Act of 2002, executed by Chief Executive Officer).</w:t>
            </w:r>
          </w:p>
        </w:tc>
        <w:tc>
          <w:tcPr>
            <w:tcW w:w="140" w:type="dxa"/>
            <w:vAlign w:val="bottom"/>
            <w:gridSpan w:val="2"/>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Chief Financial Officer).</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4"/>
                <w:szCs w:val="24"/>
                <w:color w:val="auto"/>
              </w:rPr>
            </w:pPr>
          </w:p>
        </w:tc>
        <w:tc>
          <w:tcPr>
            <w:tcW w:w="910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Chief Executive Officer).</w:t>
            </w:r>
          </w:p>
        </w:tc>
        <w:tc>
          <w:tcPr>
            <w:tcW w:w="840" w:type="dxa"/>
            <w:vAlign w:val="bottom"/>
            <w:tcBorders>
              <w:top w:val="single" w:sz="8" w:color="0000EE"/>
            </w:tcBorders>
          </w:tcPr>
          <w:p>
            <w:pPr>
              <w:spacing w:after="0"/>
              <w:rPr>
                <w:sz w:val="24"/>
                <w:szCs w:val="24"/>
                <w:color w:val="auto"/>
              </w:rPr>
            </w:pPr>
          </w:p>
        </w:tc>
        <w:tc>
          <w:tcPr>
            <w:tcW w:w="200" w:type="dxa"/>
            <w:vAlign w:val="bottom"/>
            <w:gridSpan w:val="4"/>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4"/>
                <w:szCs w:val="24"/>
                <w:color w:val="auto"/>
              </w:rPr>
            </w:pP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Chief Financial Officer).</w:t>
            </w: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0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00" w:type="dxa"/>
            <w:vAlign w:val="bottom"/>
            <w:gridSpan w:val="6"/>
          </w:tcPr>
          <w:p>
            <w:pPr>
              <w:spacing w:after="0"/>
              <w:rPr>
                <w:sz w:val="24"/>
                <w:szCs w:val="24"/>
                <w:color w:val="auto"/>
              </w:rPr>
            </w:pP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1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40" w:right="4360" w:hanging="5532"/>
        <w:spacing w:after="0" w:line="532" w:lineRule="auto"/>
        <w:tabs>
          <w:tab w:leader="none" w:pos="110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601"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STEREOTAXIS,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STEREOTAXIS, INC. (Registrant)</w:t>
      </w:r>
    </w:p>
    <w:p>
      <w:pPr>
        <w:spacing w:after="0" w:line="223"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David L. Fischel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David L. Fischel</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5"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May 13,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Kimberly R. Peery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Kimberly R. Peery</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 Fischel, certify that:</w:t>
      </w:r>
    </w:p>
    <w:p>
      <w:pPr>
        <w:spacing w:after="0" w:line="225" w:lineRule="exact"/>
        <w:rPr>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Stereotaxis,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3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3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L. Fischel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 Fischel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Kimberly R. Peery, certify that:</w:t>
      </w:r>
    </w:p>
    <w:p>
      <w:pPr>
        <w:spacing w:after="0" w:line="225"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Stereotaxis,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0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3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8"/>
        <w:spacing w:after="0" w:line="282" w:lineRule="auto"/>
        <w:tabs>
          <w:tab w:leader="none" w:pos="63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3"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340" w:hanging="8"/>
        <w:spacing w:after="0" w:line="282" w:lineRule="auto"/>
        <w:tabs>
          <w:tab w:leader="none" w:pos="59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R. Peery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Kimberly R. Peery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Stereotaxis, Inc. (the “Company”) on Form 10-Q for the period ended March 31, 2026 as filed with the Securities and Exchange Commission on the date hereof (the “Report”), I, David L. Fischel, Chief Executive Officer of the Company, certify, pursuant to Rule 13a-14(b) and Section 1350 of Chapter 63 of Title 18 of the United States Code, as adopted pursuant to Section 906 of the Sarbanes-Oxley Act of 2002, that to the best of my knowledge:</w:t>
      </w:r>
    </w:p>
    <w:p>
      <w:pPr>
        <w:spacing w:after="0" w:line="180"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David L. Fischel</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L. Fischel</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33" w:name="page34"/>
    <w:bookmarkEnd w:id="33"/>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Stereotaxis, Inc. (the “Company”) on Form 10-Q for the period ended March 31, 2026 as filed with the Securities and Exchange Commission on the date hereof (the “Report”), I, Kimberly R. Peery, Chief Financial Officer of the Company, certify, pursuant to Rule 13a-14(b) and Section 1350 of Chapter 63 of Title 18 of the United States Code, as adopted pursuant to Section 906 of the Sarbanes-Oxley Act of 2002, that to the best of my knowledge:</w:t>
      </w:r>
    </w:p>
    <w:p>
      <w:pPr>
        <w:spacing w:after="0" w:line="180" w:lineRule="exact"/>
        <w:rPr>
          <w:sz w:val="20"/>
          <w:szCs w:val="20"/>
          <w:color w:val="auto"/>
        </w:rPr>
      </w:pPr>
    </w:p>
    <w:p>
      <w:pPr>
        <w:ind w:left="900" w:hanging="244"/>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Kimberly R. Peery</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Kimberly R. Peery</w:t>
            </w:r>
          </w:p>
        </w:tc>
      </w:tr>
      <w:tr>
        <w:trPr>
          <w:trHeight w:val="216"/>
        </w:trPr>
        <w:tc>
          <w:tcPr>
            <w:tcW w:w="56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Stereotaxis, Inc.</w:t>
            </w:r>
          </w:p>
        </w:tc>
      </w:tr>
      <w:tr>
        <w:trPr>
          <w:trHeight w:val="432"/>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Roman"/>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04"/>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37" Type="http://schemas.openxmlformats.org/officeDocument/2006/relationships/hyperlink" Target="https://www.sec.gov/Archives/edgar/data/1289340/000119312504194896/dex31.htm" TargetMode="External"/><Relationship Id="rId38" Type="http://schemas.openxmlformats.org/officeDocument/2006/relationships/hyperlink" Target="https://www.sec.gov/Archives/edgar/data/1289340/000118143112040271/rrd350779_38055.htm" TargetMode="External"/><Relationship Id="rId39" Type="http://schemas.openxmlformats.org/officeDocument/2006/relationships/hyperlink" Target="https://www.sec.gov/Archives/edgar/data/1289340/000119312516725933/d315048dex31.htm" TargetMode="External"/><Relationship Id="rId40" Type="http://schemas.openxmlformats.org/officeDocument/2006/relationships/hyperlink" Target="https://www.sec.gov/Archives/edgar/data/1289340/000119312504194896/dex32.htm" TargetMode="External"/><Relationship Id="rId41" Type="http://schemas.openxmlformats.org/officeDocument/2006/relationships/hyperlink" Target="https://www.sec.gov/Archives/edgar/data/1289340/000149315226010062/ex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2026-05-13T14:44:46Z</dcterms:created>
  <dcterms:modified xsi:type="dcterms:W3CDTF">2026-05-13T14:44:46Z</dcterms:modified>
</cp:coreProperties>
</file>