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forms-3.htm"/>
      <w:bookmarkStart w:id="1" w:name="ksforms3"/>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March 13,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STEREOTAXIS,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Exact name of registrant as specified in its charter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4210" w:type="dxa"/>
        <w:jc w:val="left"/>
        <w:tblInd w:w="0" w:type="dxa"/>
        <w:tblLayout w:type="fixed"/>
        <w:tblCellMar>
          <w:top w:w="0" w:type="dxa"/>
          <w:left w:w="0" w:type="dxa"/>
          <w:bottom w:w="0" w:type="dxa"/>
          <w:right w:w="0" w:type="dxa"/>
        </w:tblCellMar>
      </w:tblPr>
      <w:tblGrid>
        <w:gridCol w:w="2585"/>
        <w:gridCol w:w="60"/>
        <w:gridCol w:w="1565"/>
      </w:tblGrid>
      <w:tr>
        <w:trPr/>
        <w:tc>
          <w:tcPr>
            <w:tcW w:w="2585" w:type="dxa"/>
            <w:tcBorders/>
            <w:vAlign w:val="center"/>
          </w:tcPr>
          <w:p>
            <w:pPr>
              <w:pStyle w:val="TableContents"/>
              <w:bidi w:val="0"/>
              <w:spacing w:before="0" w:after="283"/>
              <w:jc w:val="center"/>
              <w:rPr>
                <w:b/>
                <w:sz w:val="20"/>
              </w:rPr>
            </w:pPr>
            <w:r>
              <w:rPr>
                <w:b/>
                <w:sz w:val="20"/>
              </w:rPr>
              <w:t>Delaware</w:t>
            </w:r>
          </w:p>
        </w:tc>
        <w:tc>
          <w:tcPr>
            <w:tcW w:w="60" w:type="dxa"/>
            <w:tcBorders/>
            <w:vAlign w:val="center"/>
          </w:tcPr>
          <w:p>
            <w:pPr>
              <w:pStyle w:val="TableContents"/>
              <w:bidi w:val="0"/>
              <w:spacing w:before="0" w:after="283"/>
              <w:jc w:val="center"/>
              <w:rPr/>
            </w:pPr>
            <w:r>
              <w:rPr/>
              <w:t> </w:t>
            </w:r>
          </w:p>
        </w:tc>
        <w:tc>
          <w:tcPr>
            <w:tcW w:w="1565" w:type="dxa"/>
            <w:tcBorders/>
            <w:vAlign w:val="center"/>
          </w:tcPr>
          <w:p>
            <w:pPr>
              <w:pStyle w:val="TableContents"/>
              <w:bidi w:val="0"/>
              <w:spacing w:before="0" w:after="283"/>
              <w:jc w:val="center"/>
              <w:rPr>
                <w:b/>
                <w:sz w:val="20"/>
              </w:rPr>
            </w:pPr>
            <w:r>
              <w:rPr>
                <w:b/>
                <w:sz w:val="20"/>
              </w:rPr>
              <w:t>94-3120386</w:t>
            </w:r>
          </w:p>
        </w:tc>
      </w:tr>
      <w:tr>
        <w:trPr/>
        <w:tc>
          <w:tcPr>
            <w:tcW w:w="2585" w:type="dxa"/>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incorporation or organization)</w:t>
            </w:r>
          </w:p>
        </w:tc>
        <w:tc>
          <w:tcPr>
            <w:tcW w:w="60" w:type="dxa"/>
            <w:tcBorders/>
            <w:vAlign w:val="center"/>
          </w:tcPr>
          <w:p>
            <w:pPr>
              <w:pStyle w:val="TableContents"/>
              <w:bidi w:val="0"/>
              <w:spacing w:before="0" w:after="283"/>
              <w:jc w:val="center"/>
              <w:rPr/>
            </w:pPr>
            <w:r>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(I.R.S. Employer</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710 North Tucker Boulevard, Suite 110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 Louis, Missouri 63101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(314) 678-6100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tbl>
      <w:tblPr>
        <w:tblW w:w="8035" w:type="dxa"/>
        <w:jc w:val="left"/>
        <w:tblInd w:w="0" w:type="dxa"/>
        <w:tblLayout w:type="fixed"/>
        <w:tblCellMar>
          <w:top w:w="0" w:type="dxa"/>
          <w:left w:w="0" w:type="dxa"/>
          <w:bottom w:w="0" w:type="dxa"/>
          <w:right w:w="0" w:type="dxa"/>
        </w:tblCellMar>
      </w:tblPr>
      <w:tblGrid>
        <w:gridCol w:w="4985"/>
        <w:gridCol w:w="60"/>
        <w:gridCol w:w="2990"/>
      </w:tblGrid>
      <w:tr>
        <w:trPr/>
        <w:tc>
          <w:tcPr>
            <w:tcW w:w="49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990" w:type="dxa"/>
            <w:tcBorders/>
            <w:vAlign w:val="center"/>
          </w:tcPr>
          <w:p>
            <w:pPr>
              <w:pStyle w:val="TableContents"/>
              <w:bidi w:val="0"/>
              <w:spacing w:before="0" w:after="283"/>
              <w:jc w:val="center"/>
              <w:rPr>
                <w:b/>
                <w:i/>
                <w:sz w:val="20"/>
              </w:rPr>
            </w:pPr>
            <w:r>
              <w:rPr>
                <w:b/>
                <w:i/>
                <w:sz w:val="20"/>
              </w:rPr>
              <w:t>Copies of all correspondence to:</w:t>
            </w:r>
          </w:p>
        </w:tc>
      </w:tr>
      <w:tr>
        <w:trPr/>
        <w:tc>
          <w:tcPr>
            <w:tcW w:w="49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990" w:type="dxa"/>
            <w:tcBorders/>
            <w:vAlign w:val="center"/>
          </w:tcPr>
          <w:p>
            <w:pPr>
              <w:pStyle w:val="TableContents"/>
              <w:bidi w:val="0"/>
              <w:spacing w:before="0" w:after="283"/>
              <w:jc w:val="center"/>
              <w:rPr/>
            </w:pPr>
            <w:r>
              <w:rPr/>
              <w:t> </w:t>
            </w:r>
          </w:p>
        </w:tc>
      </w:tr>
      <w:tr>
        <w:trPr/>
        <w:tc>
          <w:tcPr>
            <w:tcW w:w="498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Fischel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Stereotaxis, Inc.</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710 North Tucker Boulevard, Suite 110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 Louis, Missouri 63101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(314) 678-6100</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(Name, address, including zip code, and</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telephone number, including area code, of agent for service)</w:t>
            </w:r>
          </w:p>
        </w:tc>
        <w:tc>
          <w:tcPr>
            <w:tcW w:w="60" w:type="dxa"/>
            <w:tcBorders/>
            <w:vAlign w:val="center"/>
          </w:tcPr>
          <w:p>
            <w:pPr>
              <w:pStyle w:val="TableContents"/>
              <w:bidi w:val="0"/>
              <w:spacing w:before="0" w:after="283"/>
              <w:jc w:val="center"/>
              <w:rPr/>
            </w:pPr>
            <w:r>
              <w:rPr/>
              <w:t> </w:t>
            </w:r>
          </w:p>
        </w:tc>
        <w:tc>
          <w:tcPr>
            <w:tcW w:w="299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Robert J. Endicott, Esq.</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Bryan Cave Leighton Paisner LLP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One Metropolitan Square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211 North Broadway, Suite 3600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 Louis, Missouri 63102-2750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(314) 259-2000</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public:</w:t>
      </w:r>
      <w:r>
        <w:rPr>
          <w:rFonts w:ascii="Times New Roman;Times;Serif" w:hAnsi="Times New Roman;Times;Serif"/>
          <w:b w:val="false"/>
          <w:i w:val="false"/>
          <w:caps w:val="false"/>
          <w:smallCaps w:val="false"/>
          <w:sz w:val="20"/>
        </w:rPr>
        <w:t xml:space="preserve"> From time to time on or after this registration statement becomes effective.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pStyle w:val="TextBody"/>
        <w:bidi w:val="0"/>
        <w:spacing w:before="0" w:after="0"/>
        <w:ind w:left="0" w:right="0" w:firstLine="720"/>
        <w:jc w:val="both"/>
        <w:rPr>
          <w:caps w:val="false"/>
          <w:smallCaps w:val="false"/>
        </w:rPr>
      </w:pPr>
      <w:r>
        <w:rPr>
          <w:caps w:val="false"/>
          <w:smallCaps w:val="false"/>
        </w:rPr>
        <w:t> </w:t>
      </w:r>
    </w:p>
    <w:tbl>
      <w:tblPr>
        <w:tblW w:w="4530" w:type="dxa"/>
        <w:jc w:val="left"/>
        <w:tblInd w:w="0" w:type="dxa"/>
        <w:tblLayout w:type="fixed"/>
        <w:tblCellMar>
          <w:top w:w="0" w:type="dxa"/>
          <w:left w:w="0" w:type="dxa"/>
          <w:bottom w:w="0" w:type="dxa"/>
          <w:right w:w="0" w:type="dxa"/>
        </w:tblCellMar>
      </w:tblPr>
      <w:tblGrid>
        <w:gridCol w:w="2060"/>
        <w:gridCol w:w="2225"/>
        <w:gridCol w:w="245"/>
      </w:tblGrid>
      <w:tr>
        <w:trPr/>
        <w:tc>
          <w:tcPr>
            <w:tcW w:w="2060" w:type="dxa"/>
            <w:tcBorders/>
            <w:vAlign w:val="center"/>
          </w:tcPr>
          <w:p>
            <w:pPr>
              <w:pStyle w:val="TableContents"/>
              <w:bidi w:val="0"/>
              <w:spacing w:before="0" w:after="283"/>
              <w:jc w:val="both"/>
              <w:rPr>
                <w:sz w:val="20"/>
              </w:rPr>
            </w:pPr>
            <w:r>
              <w:rPr>
                <w:sz w:val="20"/>
              </w:rPr>
              <w:t>Large accelerated filer ☐</w:t>
            </w:r>
          </w:p>
        </w:tc>
        <w:tc>
          <w:tcPr>
            <w:tcW w:w="2225" w:type="dxa"/>
            <w:tcBorders/>
            <w:vAlign w:val="center"/>
          </w:tcPr>
          <w:p>
            <w:pPr>
              <w:pStyle w:val="TableContents"/>
              <w:bidi w:val="0"/>
              <w:spacing w:before="0" w:after="283"/>
              <w:jc w:val="both"/>
              <w:rPr>
                <w:sz w:val="20"/>
              </w:rPr>
            </w:pPr>
            <w:r>
              <w:rPr>
                <w:sz w:val="20"/>
              </w:rPr>
              <w:t>Accelerated filer</w:t>
            </w:r>
          </w:p>
        </w:tc>
        <w:tc>
          <w:tcPr>
            <w:tcW w:w="245" w:type="dxa"/>
            <w:tcBorders/>
            <w:vAlign w:val="center"/>
          </w:tcPr>
          <w:p>
            <w:pPr>
              <w:pStyle w:val="TableContents"/>
              <w:bidi w:val="0"/>
              <w:spacing w:before="0" w:after="283"/>
              <w:jc w:val="both"/>
              <w:rPr/>
            </w:pPr>
            <w:r>
              <w:rPr/>
              <w:t>☐</w:t>
            </w:r>
          </w:p>
        </w:tc>
      </w:tr>
      <w:tr>
        <w:trPr/>
        <w:tc>
          <w:tcPr>
            <w:tcW w:w="2060" w:type="dxa"/>
            <w:tcBorders/>
            <w:vAlign w:val="center"/>
          </w:tcPr>
          <w:p>
            <w:pPr>
              <w:pStyle w:val="TableContents"/>
              <w:bidi w:val="0"/>
              <w:spacing w:before="0" w:after="283"/>
              <w:jc w:val="both"/>
              <w:rPr>
                <w:sz w:val="20"/>
              </w:rPr>
            </w:pPr>
            <w:r>
              <w:rPr>
                <w:sz w:val="20"/>
              </w:rPr>
              <w:t>Non-accelerated filer ☒</w:t>
            </w:r>
          </w:p>
        </w:tc>
        <w:tc>
          <w:tcPr>
            <w:tcW w:w="2225" w:type="dxa"/>
            <w:tcBorders/>
            <w:vAlign w:val="center"/>
          </w:tcPr>
          <w:p>
            <w:pPr>
              <w:pStyle w:val="TableContents"/>
              <w:bidi w:val="0"/>
              <w:spacing w:before="0" w:after="283"/>
              <w:jc w:val="both"/>
              <w:rPr>
                <w:sz w:val="20"/>
              </w:rPr>
            </w:pPr>
            <w:r>
              <w:rPr>
                <w:sz w:val="20"/>
              </w:rPr>
              <w:t>Smaller reporting company</w:t>
            </w:r>
          </w:p>
        </w:tc>
        <w:tc>
          <w:tcPr>
            <w:tcW w:w="245" w:type="dxa"/>
            <w:tcBorders/>
            <w:vAlign w:val="center"/>
          </w:tcPr>
          <w:p>
            <w:pPr>
              <w:pStyle w:val="TableContents"/>
              <w:bidi w:val="0"/>
              <w:spacing w:before="0" w:after="283"/>
              <w:jc w:val="both"/>
              <w:rPr/>
            </w:pPr>
            <w:r>
              <w:rPr/>
              <w:t>☒</w:t>
            </w:r>
          </w:p>
        </w:tc>
      </w:tr>
      <w:tr>
        <w:trPr/>
        <w:tc>
          <w:tcPr>
            <w:tcW w:w="2060" w:type="dxa"/>
            <w:tcBorders/>
            <w:vAlign w:val="center"/>
          </w:tcPr>
          <w:p>
            <w:pPr>
              <w:pStyle w:val="TableContents"/>
              <w:bidi w:val="0"/>
              <w:spacing w:before="0" w:after="283"/>
              <w:jc w:val="both"/>
              <w:rPr/>
            </w:pPr>
            <w:r>
              <w:rPr/>
              <w:t> </w:t>
            </w:r>
          </w:p>
        </w:tc>
        <w:tc>
          <w:tcPr>
            <w:tcW w:w="2225" w:type="dxa"/>
            <w:tcBorders/>
            <w:vAlign w:val="center"/>
          </w:tcPr>
          <w:p>
            <w:pPr>
              <w:pStyle w:val="TableContents"/>
              <w:bidi w:val="0"/>
              <w:spacing w:before="0" w:after="283"/>
              <w:jc w:val="both"/>
              <w:rPr>
                <w:sz w:val="20"/>
              </w:rPr>
            </w:pPr>
            <w:r>
              <w:rPr>
                <w:sz w:val="20"/>
              </w:rPr>
              <w:t>Emerging growth company</w:t>
            </w:r>
          </w:p>
        </w:tc>
        <w:tc>
          <w:tcPr>
            <w:tcW w:w="245" w:type="dxa"/>
            <w:tcBorders/>
            <w:vAlign w:val="center"/>
          </w:tcPr>
          <w:p>
            <w:pPr>
              <w:pStyle w:val="TableContents"/>
              <w:bidi w:val="0"/>
              <w:spacing w:before="0" w:after="283"/>
              <w:jc w:val="both"/>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Securities Act.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EXPLANATORY NOTE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on Form S-3 (this “Registration Statement”) is a replacement registration statement being filed pursuant to Rule 415(a)(6) under the Securities Act of 1933, as amended (the “Securities Act”), with respect to securities that remain unsold by the registrant (the “Unsold Securities”) under the registration statement on Form S-3 (File No. 333-272102), which was declared effective on June 6, 2023 (the “Prior Registration Statement”). Pursuant to Rule 415(a)(6) under the Securities Act, the registrant is registering on this Registration Statement an aggregate of $79,639,304 of such Unsold Securities. The aggregate filing fee paid in connection with such Unsold Securities was $8,919.60 (calculated at the filing fee rate in effect at the time of the filing of the Prior Registration Statement). Pursuant to Rule 415(a)(6) under the Securities Act, the registration fee applicable to the Unsold Securities is being carried forward to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415(a)(5)(ii) under the Securities Act, by filing this Registration Statement, the registrant may issue and sell securities under the Prior Registration Statement until the earlier of (i) the effective date of this registration statement and (ii) December 3, 2026, which is 180 days after the third anniversary of the initial effective date of the Prior Registration Statement (the “Expiration Date”). In particular, the registrant may continue to offer and sell shares of common stock under the Prior Registration Statement in its at-the-market offering through Roth Capital Partners, LLC as sales agent, which offering shall remain registered under the Prior Registration Statement using a prospectus supplement filed on August 29, 2025, until the Expiration Date. All offers and sales by the registrant under the Prior Registration Statement will be deemed terminated on the Expiration Date, except to the extent covered by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contains two prospectuses: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 base prospectus, which covers the offering, issuance and sale by the registrant of up to a maximum aggregate offering price of $100,000,000 of the registrant’s debt securities, common stock, preferred stock, warrants, rights or units consisting of any two or more of such securities; and</w:t>
            </w:r>
          </w:p>
        </w:tc>
      </w:tr>
    </w:tbl>
    <w:p>
      <w:pPr>
        <w:pStyle w:val="TextBody"/>
        <w:bidi w:val="0"/>
        <w:spacing w:before="0" w:after="0"/>
        <w:ind w:left="0" w:right="0" w:firstLine="4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 “at the market offering” sales agreement prospectus covering the offering, issuance and sale by the registrant of up to a maximum aggregate offering price of $50,000,000 of the registrant’s common stock that may be issued and sold from time to time under that certain Sales Agreement (“Sales Agreement”) with Roth Capital Partners, LLC as sales agent, dated as of August 29, 2025 (the “Original Sales Agreement”), as amended by that certain Amendment No. 1 to Sales Agreement (“Amendment No. 1”), dated March 13, 2026 (as amended, the “Sales Agreement”).</w:t>
            </w:r>
          </w:p>
        </w:tc>
      </w:tr>
    </w:tbl>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base prospectus immediately follows this explanatory note. The specific terms of any securities to be offered pursuant to the base prospectus, other than the shares under the Sales Agreement, will be specified in a prospectus supplement to the base prospectus. The “at the market offering” prospectus immediately follows the base prospectus. The common stock that may be offered, issued and sold by the registrant under the “at the market offering” prospectus is in addition to the $100,000,000 of securities that may be offered, issued and sold by the registrant under the base prospectus. Upon any termination of the offering under the Sales Agreement, any portion of the $50,000,000 included in the “at the market offering” prospectus that has not been sold pursuant to the Sales Agreement will become available for sale in other offerings pursuant to the base prospectus and a corresponding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29, 2025, the registrant filed a sales agreement prospectus supplement (the “Original Sales Agreement Prospectus”) covering the offering, issuance and sale of up to a maximum aggregate offering price of $50,000,000 of its common stock that could be issued and sold from time to time under the Sales Agreement. As of immediately prior to the filing of this Registration Statement, $42,139,304 of the registrant’s common stock remained available for sale under the Original Sales Agreement Prospectus. Amendment No. 1 amends the Original Sales Agreement, and, upon effectiveness of this registration statement, the remaining $42,139,304 of the registrant’s common stock available for sale under the Original Sales Agreement Prospectus is included for sale under the sales agreement prospectus forming part of this Registration Statement, and no further sales will be made under the Original Sales Agreement Prospectus.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PROSPECTUS IS NOT COMPLETE AND MAY BE CHANGED. THE SECURITIES MAY NOT BE SOLD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 dated March 13,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color w:val="FF0000"/>
        </w:rPr>
      </w:pPr>
      <w:r>
        <w:rPr>
          <w:caps w:val="false"/>
          <w:smallCaps w:val="false"/>
          <w:color w:val="FF0000"/>
        </w:rPr>
        <w:drawing>
          <wp:inline distT="0" distB="0" distL="0" distR="0">
            <wp:extent cx="2143125" cy="704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43125" cy="7048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$100,000,000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Debt Securities</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Common Stock</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Preferred Stock</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Warrants</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Rights</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and sell from time to time, in one or more offerings, up to $100,000,000 in the aggregate of debt securities, common stock, preferred stock, warrants, rights or units consisting of any two or more of such securities. This prospectus provides a general description of the securities that may be offered.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time we offer and sell securities, we will provide specific terms of the securities to be offered and sold (including the amounts, prices and other terms) in a supplement to this prospectus (which may include, but is not limited to, an at-the-market sales agreement prospectus). This prospectus may not be used to sell securities unless accompanied by a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NYSE American under the symbol “STXS.” As of March 12, 2026, the closing price of our common stock was $1.88. Each prospectus supplement offering any securities other than our common stock will state whether those securities are listed or will be listed on the NYSE American or any other securities market or other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securities through underwriting syndicates managed or co-managed by one or more underwriters, directly to purchasers or in any manner specified in a prospectus supplement. The prospectus supplement for each offering of securities will describe in detail the plan of distribution for that offering. For general information about the distribution of securities, see “Plan of Distribution” in this prospectus. No securities may be sold without delivery of this prospectus and the applicable prospectus supplement describing the method and terms of the offering of such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read carefully this prospectus and the documents incorporated by reference in this prospectus before you invest. Investing in these securities involves significant risks. See “Risk Factors” on page 2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 2026.</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Securities and Exchange Commission, which we refer to as the “SEC,” utilizing a “shelf” registration process. Under this shelf registration process, we may, from time to time, sell any combination of the securities described in this prospectus in one or more offerings up to a total offering price of $100,000,000.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provides you with a general description of the securities we may offer. Each time we offer and sell securities, we will provide a prospectus supplement to this prospectus that will contain specific information about the terms of that offering. We will file each prospectus supplement with the SEC. The prospectus supplement may also add, update or change information contained in this prospectus. If there is any inconsistency between the information in this prospectus and the applicable prospectus supplement, you should rely on the prospectus supplement. You should read both this prospectus and any prospectus supplement together with additional information described under the heading “Where You Can Find Additional Information”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only rely on the information contained in this prospectus and any prospectus supplement, including the information incorporated by reference. We have not authorized anyone to provide you with different information. The information contained in this prospectus and any prospectus supplement is complete and accurate only as of the date on its respective front cover, and any information incorporated by reference is accurate only as of the date of the document incorporated by reference, unless we indicate otherwise. The forward-looking statements included or incorporated by reference in this prospectus are only made as of the date of this prospectus or as of the date of such statement contained in the respective documents incorporated by reference herein, respectively, and we disclaim any obligation to publicly update any forward-looking statement to reflect subsequent events or circumstances even though our situation may change in the future.</w:t>
      </w:r>
    </w:p>
    <w:p>
      <w:pPr>
        <w:pStyle w:val="TextBody"/>
        <w:bidi w:val="0"/>
        <w:spacing w:before="0" w:after="0"/>
        <w:ind w:left="0" w:right="0" w:hanging="0"/>
        <w:jc w:val="both"/>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5495"/>
        <w:gridCol w:w="455"/>
      </w:tblGrid>
      <w:tr>
        <w:trPr/>
        <w:tc>
          <w:tcPr>
            <w:tcW w:w="5495" w:type="dxa"/>
            <w:tcBorders/>
            <w:vAlign w:val="center"/>
          </w:tcPr>
          <w:p>
            <w:pPr>
              <w:pStyle w:val="TableContents"/>
              <w:bidi w:val="0"/>
              <w:spacing w:before="0" w:after="283"/>
              <w:jc w:val="left"/>
              <w:rPr/>
            </w:pPr>
            <w:r>
              <w:rPr/>
              <w:t> </w:t>
            </w:r>
          </w:p>
        </w:tc>
        <w:tc>
          <w:tcPr>
            <w:tcW w:w="45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Page</w:t>
            </w:r>
          </w:p>
        </w:tc>
      </w:tr>
      <w:tr>
        <w:trPr/>
        <w:tc>
          <w:tcPr>
            <w:tcW w:w="5495" w:type="dxa"/>
            <w:tcBorders/>
            <w:shd w:fill="CCEEFF" w:val="clear"/>
            <w:vAlign w:val="center"/>
          </w:tcPr>
          <w:p>
            <w:pPr>
              <w:pStyle w:val="TableContents"/>
              <w:bidi w:val="0"/>
              <w:spacing w:before="0" w:after="283"/>
              <w:jc w:val="left"/>
              <w:rPr/>
            </w:pPr>
            <w:hyperlink w:anchor="a_001">
              <w:r>
                <w:rPr>
                  <w:rStyle w:val="InternetLink"/>
                  <w:sz w:val="20"/>
                </w:rPr>
                <w:t>THE COMPANY</w:t>
              </w:r>
            </w:hyperlink>
          </w:p>
        </w:tc>
        <w:tc>
          <w:tcPr>
            <w:tcW w:w="455" w:type="dxa"/>
            <w:tcBorders/>
            <w:shd w:fill="CCEEFF" w:val="clear"/>
            <w:vAlign w:val="center"/>
          </w:tcPr>
          <w:p>
            <w:pPr>
              <w:pStyle w:val="TableContents"/>
              <w:bidi w:val="0"/>
              <w:spacing w:before="0" w:after="283"/>
              <w:jc w:val="center"/>
              <w:rPr>
                <w:sz w:val="20"/>
              </w:rPr>
            </w:pPr>
            <w:r>
              <w:rPr>
                <w:sz w:val="20"/>
              </w:rPr>
              <w:t>1</w:t>
            </w:r>
          </w:p>
        </w:tc>
      </w:tr>
      <w:tr>
        <w:trPr/>
        <w:tc>
          <w:tcPr>
            <w:tcW w:w="549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02">
              <w:r>
                <w:rPr>
                  <w:rStyle w:val="InternetLink"/>
                  <w:sz w:val="20"/>
                </w:rPr>
                <w:t>RISK FACTORS</w:t>
              </w:r>
            </w:hyperlink>
          </w:p>
        </w:tc>
        <w:tc>
          <w:tcPr>
            <w:tcW w:w="455" w:type="dxa"/>
            <w:tcBorders/>
            <w:shd w:fill="CCEEFF" w:val="clear"/>
            <w:vAlign w:val="center"/>
          </w:tcPr>
          <w:p>
            <w:pPr>
              <w:pStyle w:val="TableContents"/>
              <w:bidi w:val="0"/>
              <w:spacing w:before="0" w:after="283"/>
              <w:jc w:val="center"/>
              <w:rPr>
                <w:sz w:val="20"/>
              </w:rPr>
            </w:pPr>
            <w:r>
              <w:rPr>
                <w:sz w:val="20"/>
              </w:rPr>
              <w:t>2</w:t>
            </w:r>
          </w:p>
        </w:tc>
      </w:tr>
      <w:tr>
        <w:trPr/>
        <w:tc>
          <w:tcPr>
            <w:tcW w:w="549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03">
              <w:r>
                <w:rPr>
                  <w:rStyle w:val="InternetLink"/>
                  <w:sz w:val="20"/>
                </w:rPr>
                <w:t>FORWARD-LOOKING STATEMENTS</w:t>
              </w:r>
            </w:hyperlink>
          </w:p>
        </w:tc>
        <w:tc>
          <w:tcPr>
            <w:tcW w:w="455" w:type="dxa"/>
            <w:tcBorders/>
            <w:shd w:fill="CCEEFF" w:val="clear"/>
            <w:vAlign w:val="center"/>
          </w:tcPr>
          <w:p>
            <w:pPr>
              <w:pStyle w:val="TableContents"/>
              <w:bidi w:val="0"/>
              <w:spacing w:before="0" w:after="283"/>
              <w:jc w:val="center"/>
              <w:rPr>
                <w:sz w:val="20"/>
              </w:rPr>
            </w:pPr>
            <w:r>
              <w:rPr>
                <w:sz w:val="20"/>
              </w:rPr>
              <w:t>3</w:t>
            </w:r>
          </w:p>
        </w:tc>
      </w:tr>
      <w:tr>
        <w:trPr/>
        <w:tc>
          <w:tcPr>
            <w:tcW w:w="549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04">
              <w:r>
                <w:rPr>
                  <w:rStyle w:val="InternetLink"/>
                  <w:sz w:val="20"/>
                </w:rPr>
                <w:t>USE OF PROCEEDS</w:t>
              </w:r>
            </w:hyperlink>
          </w:p>
        </w:tc>
        <w:tc>
          <w:tcPr>
            <w:tcW w:w="455" w:type="dxa"/>
            <w:tcBorders/>
            <w:shd w:fill="CCEEFF" w:val="clear"/>
            <w:vAlign w:val="center"/>
          </w:tcPr>
          <w:p>
            <w:pPr>
              <w:pStyle w:val="TableContents"/>
              <w:bidi w:val="0"/>
              <w:spacing w:before="0" w:after="283"/>
              <w:jc w:val="center"/>
              <w:rPr>
                <w:sz w:val="20"/>
              </w:rPr>
            </w:pPr>
            <w:r>
              <w:rPr>
                <w:sz w:val="20"/>
              </w:rPr>
              <w:t>4</w:t>
            </w:r>
          </w:p>
        </w:tc>
      </w:tr>
      <w:tr>
        <w:trPr/>
        <w:tc>
          <w:tcPr>
            <w:tcW w:w="549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05">
              <w:r>
                <w:rPr>
                  <w:rStyle w:val="InternetLink"/>
                  <w:sz w:val="20"/>
                </w:rPr>
                <w:t>DESCRIPTION OF DEBT SECURITIES</w:t>
              </w:r>
            </w:hyperlink>
          </w:p>
        </w:tc>
        <w:tc>
          <w:tcPr>
            <w:tcW w:w="455" w:type="dxa"/>
            <w:tcBorders/>
            <w:shd w:fill="CCEEFF" w:val="clear"/>
            <w:vAlign w:val="center"/>
          </w:tcPr>
          <w:p>
            <w:pPr>
              <w:pStyle w:val="TableContents"/>
              <w:bidi w:val="0"/>
              <w:spacing w:before="0" w:after="283"/>
              <w:jc w:val="center"/>
              <w:rPr>
                <w:sz w:val="20"/>
              </w:rPr>
            </w:pPr>
            <w:r>
              <w:rPr>
                <w:sz w:val="20"/>
              </w:rPr>
              <w:t>5</w:t>
            </w:r>
          </w:p>
        </w:tc>
      </w:tr>
      <w:tr>
        <w:trPr/>
        <w:tc>
          <w:tcPr>
            <w:tcW w:w="549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06">
              <w:r>
                <w:rPr>
                  <w:rStyle w:val="InternetLink"/>
                  <w:sz w:val="20"/>
                </w:rPr>
                <w:t>DESCRIPTION OF CAPITAL STOCK</w:t>
              </w:r>
            </w:hyperlink>
          </w:p>
        </w:tc>
        <w:tc>
          <w:tcPr>
            <w:tcW w:w="455" w:type="dxa"/>
            <w:tcBorders/>
            <w:shd w:fill="CCEEFF" w:val="clear"/>
            <w:vAlign w:val="center"/>
          </w:tcPr>
          <w:p>
            <w:pPr>
              <w:pStyle w:val="TableContents"/>
              <w:bidi w:val="0"/>
              <w:spacing w:before="0" w:after="283"/>
              <w:jc w:val="center"/>
              <w:rPr>
                <w:sz w:val="20"/>
              </w:rPr>
            </w:pPr>
            <w:r>
              <w:rPr>
                <w:sz w:val="20"/>
              </w:rPr>
              <w:t>13</w:t>
            </w:r>
          </w:p>
        </w:tc>
      </w:tr>
      <w:tr>
        <w:trPr/>
        <w:tc>
          <w:tcPr>
            <w:tcW w:w="549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07">
              <w:r>
                <w:rPr>
                  <w:rStyle w:val="InternetLink"/>
                  <w:sz w:val="20"/>
                </w:rPr>
                <w:t>DESCRIPTION OF WARRANTS</w:t>
              </w:r>
            </w:hyperlink>
          </w:p>
        </w:tc>
        <w:tc>
          <w:tcPr>
            <w:tcW w:w="455" w:type="dxa"/>
            <w:tcBorders/>
            <w:shd w:fill="CCEEFF" w:val="clear"/>
            <w:vAlign w:val="center"/>
          </w:tcPr>
          <w:p>
            <w:pPr>
              <w:pStyle w:val="TableContents"/>
              <w:bidi w:val="0"/>
              <w:spacing w:before="0" w:after="283"/>
              <w:jc w:val="center"/>
              <w:rPr>
                <w:sz w:val="20"/>
              </w:rPr>
            </w:pPr>
            <w:r>
              <w:rPr>
                <w:sz w:val="20"/>
              </w:rPr>
              <w:t>18</w:t>
            </w:r>
          </w:p>
        </w:tc>
      </w:tr>
      <w:tr>
        <w:trPr/>
        <w:tc>
          <w:tcPr>
            <w:tcW w:w="549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08">
              <w:r>
                <w:rPr>
                  <w:rStyle w:val="InternetLink"/>
                  <w:sz w:val="20"/>
                </w:rPr>
                <w:t>DESCRIPTION OF RIGHTS</w:t>
              </w:r>
            </w:hyperlink>
          </w:p>
        </w:tc>
        <w:tc>
          <w:tcPr>
            <w:tcW w:w="455" w:type="dxa"/>
            <w:tcBorders/>
            <w:shd w:fill="CCEEFF" w:val="clear"/>
            <w:vAlign w:val="center"/>
          </w:tcPr>
          <w:p>
            <w:pPr>
              <w:pStyle w:val="TableContents"/>
              <w:bidi w:val="0"/>
              <w:spacing w:before="0" w:after="283"/>
              <w:jc w:val="center"/>
              <w:rPr>
                <w:sz w:val="20"/>
              </w:rPr>
            </w:pPr>
            <w:r>
              <w:rPr>
                <w:sz w:val="20"/>
              </w:rPr>
              <w:t>19</w:t>
            </w:r>
          </w:p>
        </w:tc>
      </w:tr>
      <w:tr>
        <w:trPr/>
        <w:tc>
          <w:tcPr>
            <w:tcW w:w="549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09">
              <w:r>
                <w:rPr>
                  <w:rStyle w:val="InternetLink"/>
                  <w:sz w:val="20"/>
                </w:rPr>
                <w:t>DESCRIPTION OF UNITS</w:t>
              </w:r>
            </w:hyperlink>
          </w:p>
        </w:tc>
        <w:tc>
          <w:tcPr>
            <w:tcW w:w="455" w:type="dxa"/>
            <w:tcBorders/>
            <w:shd w:fill="CCEEFF" w:val="clear"/>
            <w:vAlign w:val="center"/>
          </w:tcPr>
          <w:p>
            <w:pPr>
              <w:pStyle w:val="TableContents"/>
              <w:bidi w:val="0"/>
              <w:spacing w:before="0" w:after="283"/>
              <w:jc w:val="center"/>
              <w:rPr>
                <w:sz w:val="20"/>
              </w:rPr>
            </w:pPr>
            <w:r>
              <w:rPr>
                <w:sz w:val="20"/>
              </w:rPr>
              <w:t>20</w:t>
            </w:r>
          </w:p>
        </w:tc>
      </w:tr>
      <w:tr>
        <w:trPr/>
        <w:tc>
          <w:tcPr>
            <w:tcW w:w="549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10">
              <w:r>
                <w:rPr>
                  <w:rStyle w:val="InternetLink"/>
                  <w:sz w:val="20"/>
                </w:rPr>
                <w:t>PLAN OF DISTRIBUTION</w:t>
              </w:r>
            </w:hyperlink>
          </w:p>
        </w:tc>
        <w:tc>
          <w:tcPr>
            <w:tcW w:w="455" w:type="dxa"/>
            <w:tcBorders/>
            <w:shd w:fill="CCEEFF" w:val="clear"/>
            <w:vAlign w:val="center"/>
          </w:tcPr>
          <w:p>
            <w:pPr>
              <w:pStyle w:val="TableContents"/>
              <w:bidi w:val="0"/>
              <w:spacing w:before="0" w:after="283"/>
              <w:jc w:val="center"/>
              <w:rPr>
                <w:sz w:val="20"/>
              </w:rPr>
            </w:pPr>
            <w:r>
              <w:rPr>
                <w:sz w:val="20"/>
              </w:rPr>
              <w:t>21</w:t>
            </w:r>
          </w:p>
        </w:tc>
      </w:tr>
      <w:tr>
        <w:trPr/>
        <w:tc>
          <w:tcPr>
            <w:tcW w:w="549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11">
              <w:r>
                <w:rPr>
                  <w:rStyle w:val="InternetLink"/>
                  <w:sz w:val="20"/>
                </w:rPr>
                <w:t>LEGAL MATTERS</w:t>
              </w:r>
            </w:hyperlink>
          </w:p>
        </w:tc>
        <w:tc>
          <w:tcPr>
            <w:tcW w:w="455" w:type="dxa"/>
            <w:tcBorders/>
            <w:shd w:fill="CCEEFF" w:val="clear"/>
            <w:vAlign w:val="center"/>
          </w:tcPr>
          <w:p>
            <w:pPr>
              <w:pStyle w:val="TableContents"/>
              <w:bidi w:val="0"/>
              <w:spacing w:before="0" w:after="283"/>
              <w:jc w:val="center"/>
              <w:rPr>
                <w:sz w:val="20"/>
              </w:rPr>
            </w:pPr>
            <w:r>
              <w:rPr>
                <w:sz w:val="20"/>
              </w:rPr>
              <w:t>22</w:t>
            </w:r>
          </w:p>
        </w:tc>
      </w:tr>
      <w:tr>
        <w:trPr/>
        <w:tc>
          <w:tcPr>
            <w:tcW w:w="549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12">
              <w:r>
                <w:rPr>
                  <w:rStyle w:val="InternetLink"/>
                  <w:sz w:val="20"/>
                </w:rPr>
                <w:t>EXPERTS</w:t>
              </w:r>
            </w:hyperlink>
          </w:p>
        </w:tc>
        <w:tc>
          <w:tcPr>
            <w:tcW w:w="455" w:type="dxa"/>
            <w:tcBorders/>
            <w:shd w:fill="CCEEFF" w:val="clear"/>
            <w:vAlign w:val="center"/>
          </w:tcPr>
          <w:p>
            <w:pPr>
              <w:pStyle w:val="TableContents"/>
              <w:bidi w:val="0"/>
              <w:spacing w:before="0" w:after="283"/>
              <w:jc w:val="center"/>
              <w:rPr>
                <w:sz w:val="20"/>
              </w:rPr>
            </w:pPr>
            <w:r>
              <w:rPr>
                <w:sz w:val="20"/>
              </w:rPr>
              <w:t>22</w:t>
            </w:r>
          </w:p>
        </w:tc>
      </w:tr>
      <w:tr>
        <w:trPr/>
        <w:tc>
          <w:tcPr>
            <w:tcW w:w="549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13">
              <w:r>
                <w:rPr>
                  <w:rStyle w:val="InternetLink"/>
                  <w:sz w:val="20"/>
                </w:rPr>
                <w:t>WHERE YOU CAN FIND ADDITIONAL INFORMATION</w:t>
              </w:r>
            </w:hyperlink>
          </w:p>
        </w:tc>
        <w:tc>
          <w:tcPr>
            <w:tcW w:w="455" w:type="dxa"/>
            <w:tcBorders/>
            <w:shd w:fill="CCEEFF" w:val="clear"/>
            <w:vAlign w:val="center"/>
          </w:tcPr>
          <w:p>
            <w:pPr>
              <w:pStyle w:val="TableContents"/>
              <w:bidi w:val="0"/>
              <w:spacing w:before="0" w:after="283"/>
              <w:jc w:val="center"/>
              <w:rPr>
                <w:sz w:val="20"/>
              </w:rPr>
            </w:pPr>
            <w:r>
              <w:rPr>
                <w:sz w:val="20"/>
              </w:rPr>
              <w:t>22</w:t>
            </w:r>
          </w:p>
        </w:tc>
      </w:tr>
      <w:tr>
        <w:trPr/>
        <w:tc>
          <w:tcPr>
            <w:tcW w:w="549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14">
              <w:r>
                <w:rPr>
                  <w:rStyle w:val="InternetLink"/>
                  <w:sz w:val="20"/>
                </w:rPr>
                <w:t>INCORPORATION OF CERTAIN DOCUMENTS BY REFERENCE</w:t>
              </w:r>
            </w:hyperlink>
          </w:p>
        </w:tc>
        <w:tc>
          <w:tcPr>
            <w:tcW w:w="455" w:type="dxa"/>
            <w:tcBorders/>
            <w:shd w:fill="CCEEFF" w:val="clear"/>
            <w:vAlign w:val="center"/>
          </w:tcPr>
          <w:p>
            <w:pPr>
              <w:pStyle w:val="TableContents"/>
              <w:bidi w:val="0"/>
              <w:spacing w:before="0" w:after="283"/>
              <w:jc w:val="center"/>
              <w:rPr>
                <w:sz w:val="20"/>
              </w:rPr>
            </w:pPr>
            <w:r>
              <w:rPr>
                <w:sz w:val="20"/>
              </w:rPr>
              <w:t>23</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Stereotaxis designs, manufactures and markets robotic systems, instruments and information systems for the interventional laboratory. Our proprietary robotic technology, Robotic Magnetic Navigation, fundamentally transforms endovascular interventions using precise computer-controlled magnetic fields to directly control the tip of flexible interventional catheters or devices. Direct control of the tip of an interventional device, in contrast to all manual hand-held devices that are controlled from their handle, can improve the precision, stability, reach and safety of these devices during procedures.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clinical focus has been electrophysiology, specifically cardiac ablation procedures for the treatment of arrhythmias. Cardiac ablation has become a well-accepted therapy for arrhythmias and a multi-billion-dollar medical device market with expectations for substantial long-term growth. We have shared our aspiration and a product strategy to expand the clinical focus of our technology to several additional endovascular indications including coronary, neuro, and peripheral interventions.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substantial real-world evidence and clinical literature for Robotic Magnetic Navigation in electrophysiology. Hundreds of electrophysiologists at over one hundred hospitals globally have treated over 150,000 arrhythmia patients with our robotic technology. Clinical use of our technology has been documented in over 400 clinical publications. Robotic Magnetic Navigation is designed to enable physicians to complete more complex interventional procedures with greater success and safety by providing image-guided delivery of catheters through the blood vessels and chambers of the heart to treatment sites. This is achieved using externally applied computer-controlled magnetic fields that govern the motion of the working tip of the catheter, resulting in improved navigation. The more flexible atraumatic design of catheters driven using magnetic fields may reduce the risk of patient harm and other adverse events. Performing the procedure from a control cockpit enables physicians to complete procedures in a safe location protected from x-ray exposure, with greater ergonomics, and improved efficiency. We believe these benefits can be applicable in other endovascular indications where navigation through complex vasculature is often challenging or unsuccessful and generates significant x-ray exposure.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primary products include the </w:t>
      </w:r>
      <w:r>
        <w:rPr>
          <w:rFonts w:ascii="Times New Roman;Times;Serif" w:hAnsi="Times New Roman;Times;Serif"/>
          <w:b w:val="false"/>
          <w:i/>
          <w:caps w:val="false"/>
          <w:smallCaps w:val="false"/>
          <w:sz w:val="20"/>
        </w:rPr>
        <w:t xml:space="preserve">Genesis RMN </w:t>
      </w:r>
      <w:r>
        <w:rPr>
          <w:rFonts w:ascii="Times New Roman;Times;Serif" w:hAnsi="Times New Roman;Times;Serif"/>
          <w:b w:val="false"/>
          <w:i w:val="false"/>
          <w:caps w:val="false"/>
          <w:smallCaps w:val="false"/>
          <w:sz w:val="20"/>
        </w:rPr>
        <w:t xml:space="preserve">and the </w:t>
      </w:r>
      <w:r>
        <w:rPr>
          <w:rFonts w:ascii="Times New Roman;Times;Serif" w:hAnsi="Times New Roman;Times;Serif"/>
          <w:b w:val="false"/>
          <w:i/>
          <w:caps w:val="false"/>
          <w:smallCaps w:val="false"/>
          <w:sz w:val="20"/>
        </w:rPr>
        <w:t xml:space="preserve">GenesisX RMN </w:t>
      </w:r>
      <w:r>
        <w:rPr>
          <w:rFonts w:ascii="Times New Roman;Times;Serif" w:hAnsi="Times New Roman;Times;Serif"/>
          <w:b w:val="false"/>
          <w:i w:val="false"/>
          <w:caps w:val="false"/>
          <w:smallCaps w:val="false"/>
          <w:sz w:val="20"/>
        </w:rPr>
        <w:t xml:space="preserve">Systems, the </w:t>
      </w:r>
      <w:r>
        <w:rPr>
          <w:rFonts w:ascii="Times New Roman;Times;Serif" w:hAnsi="Times New Roman;Times;Serif"/>
          <w:b w:val="false"/>
          <w:i/>
          <w:caps w:val="false"/>
          <w:smallCaps w:val="false"/>
          <w:sz w:val="20"/>
        </w:rPr>
        <w:t xml:space="preserve">Odyssey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caps w:val="false"/>
          <w:smallCaps w:val="false"/>
          <w:sz w:val="20"/>
        </w:rPr>
        <w:t xml:space="preserve">Synchrony &amp; SynX </w:t>
      </w:r>
      <w:r>
        <w:rPr>
          <w:rFonts w:ascii="Times New Roman;Times;Serif" w:hAnsi="Times New Roman;Times;Serif"/>
          <w:b w:val="false"/>
          <w:i w:val="false"/>
          <w:caps w:val="false"/>
          <w:smallCaps w:val="false"/>
          <w:sz w:val="20"/>
        </w:rPr>
        <w:t>Solutions, various interventional devices under the Map-iT, MAGiC and EMAGIN brands, and other related devices. Through our strategic relationships with fluoroscopy system manufacturers, providers of catheters and electrophysiology mapping systems, and other parties, we offer our customers x-ray systems and other accessory devices.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r>
        <w:rPr>
          <w:rFonts w:ascii="Times New Roman;Times;Serif" w:hAnsi="Times New Roman;Times;Serif"/>
          <w:b w:val="false"/>
          <w:i/>
          <w:caps w:val="false"/>
          <w:smallCaps w:val="false"/>
          <w:sz w:val="20"/>
        </w:rPr>
        <w:t xml:space="preserve">Genesis RMN </w:t>
      </w:r>
      <w:r>
        <w:rPr>
          <w:rFonts w:ascii="Times New Roman;Times;Serif" w:hAnsi="Times New Roman;Times;Serif"/>
          <w:b w:val="false"/>
          <w:i w:val="false"/>
          <w:caps w:val="false"/>
          <w:smallCaps w:val="false"/>
          <w:sz w:val="20"/>
        </w:rPr>
        <w:t xml:space="preserve">and the </w:t>
      </w:r>
      <w:r>
        <w:rPr>
          <w:rFonts w:ascii="Times New Roman;Times;Serif" w:hAnsi="Times New Roman;Times;Serif"/>
          <w:b w:val="false"/>
          <w:i/>
          <w:caps w:val="false"/>
          <w:smallCaps w:val="false"/>
          <w:sz w:val="20"/>
        </w:rPr>
        <w:t xml:space="preserve">GenesisX RMN </w:t>
      </w:r>
      <w:r>
        <w:rPr>
          <w:rFonts w:ascii="Times New Roman;Times;Serif" w:hAnsi="Times New Roman;Times;Serif"/>
          <w:b w:val="false"/>
          <w:i w:val="false"/>
          <w:caps w:val="false"/>
          <w:smallCaps w:val="false"/>
          <w:sz w:val="20"/>
        </w:rPr>
        <w:t xml:space="preserve">Systems are designed to enable physicians to complete more complex interventional procedures by providing image-guided delivery of catheters through the blood vessels and chambers of the heart to treatment sites. This is achieved using externally applied magnetic fields that govern the motion of the working tip of the catheter, resulting in improved navigation, efficient procedures, and reduced x-ray exposure. The </w:t>
      </w:r>
      <w:r>
        <w:rPr>
          <w:rFonts w:ascii="Times New Roman;Times;Serif" w:hAnsi="Times New Roman;Times;Serif"/>
          <w:b w:val="false"/>
          <w:i/>
          <w:caps w:val="false"/>
          <w:smallCaps w:val="false"/>
          <w:sz w:val="20"/>
        </w:rPr>
        <w:t xml:space="preserve">GenesisX RMN </w:t>
      </w:r>
      <w:r>
        <w:rPr>
          <w:rFonts w:ascii="Times New Roman;Times;Serif" w:hAnsi="Times New Roman;Times;Serif"/>
          <w:b w:val="false"/>
          <w:i w:val="false"/>
          <w:caps w:val="false"/>
          <w:smallCaps w:val="false"/>
          <w:sz w:val="20"/>
        </w:rPr>
        <w:t>System</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the latest generation of the </w:t>
      </w:r>
      <w:r>
        <w:rPr>
          <w:rFonts w:ascii="Times New Roman;Times;Serif" w:hAnsi="Times New Roman;Times;Serif"/>
          <w:b w:val="false"/>
          <w:i/>
          <w:caps w:val="false"/>
          <w:smallCaps w:val="false"/>
          <w:sz w:val="20"/>
        </w:rPr>
        <w:t>Genesis RMN</w:t>
      </w:r>
      <w:r>
        <w:rPr>
          <w:rFonts w:ascii="Times New Roman;Times;Serif" w:hAnsi="Times New Roman;Times;Serif"/>
          <w:b w:val="false"/>
          <w:i w:val="false"/>
          <w:caps w:val="false"/>
          <w:smallCaps w:val="false"/>
          <w:sz w:val="20"/>
        </w:rPr>
        <w:t xml:space="preserve"> System, is designed to significantly enhance the accessibility of Robotic Magnetic Navigation by reducing the lengthy construction cycle necessary to install prior generation RMN systems.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r>
        <w:rPr>
          <w:rFonts w:ascii="Times New Roman;Times;Serif" w:hAnsi="Times New Roman;Times;Serif"/>
          <w:b w:val="false"/>
          <w:i/>
          <w:caps w:val="false"/>
          <w:smallCaps w:val="false"/>
          <w:sz w:val="20"/>
        </w:rPr>
        <w:t xml:space="preserve">Odyssey </w:t>
      </w:r>
      <w:r>
        <w:rPr>
          <w:rFonts w:ascii="Times New Roman;Times;Serif" w:hAnsi="Times New Roman;Times;Serif"/>
          <w:b w:val="false"/>
          <w:i w:val="false"/>
          <w:caps w:val="false"/>
          <w:smallCaps w:val="false"/>
          <w:sz w:val="20"/>
        </w:rPr>
        <w:t xml:space="preserve">Solution consolidates lab information onto one large integrated display, enabling physicians to view and control all the key information in the operating room. This is designed to improve lab layout and procedure efficiency. The system also features a remote viewing and recording capability called </w:t>
      </w:r>
      <w:r>
        <w:rPr>
          <w:rFonts w:ascii="Times New Roman;Times;Serif" w:hAnsi="Times New Roman;Times;Serif"/>
          <w:b w:val="false"/>
          <w:i/>
          <w:caps w:val="false"/>
          <w:smallCaps w:val="false"/>
          <w:sz w:val="20"/>
        </w:rPr>
        <w:t>Odyssey Cinema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caps w:val="false"/>
          <w:smallCaps w:val="false"/>
          <w:sz w:val="20"/>
        </w:rPr>
        <w:t xml:space="preserve">Odyssey </w:t>
      </w:r>
      <w:r>
        <w:rPr>
          <w:rFonts w:ascii="Times New Roman;Times;Serif" w:hAnsi="Times New Roman;Times;Serif"/>
          <w:b w:val="false"/>
          <w:i w:val="false"/>
          <w:caps w:val="false"/>
          <w:smallCaps w:val="false"/>
          <w:sz w:val="20"/>
        </w:rPr>
        <w:t xml:space="preserve">Solution and </w:t>
      </w:r>
      <w:r>
        <w:rPr>
          <w:rFonts w:ascii="Times New Roman;Times;Serif" w:hAnsi="Times New Roman;Times;Serif"/>
          <w:b w:val="false"/>
          <w:i/>
          <w:caps w:val="false"/>
          <w:smallCaps w:val="false"/>
          <w:sz w:val="20"/>
        </w:rPr>
        <w:t>Odyssey Cinema</w:t>
      </w:r>
      <w:r>
        <w:rPr>
          <w:rFonts w:ascii="Times New Roman;Times;Serif" w:hAnsi="Times New Roman;Times;Serif"/>
          <w:b w:val="false"/>
          <w:i w:val="false"/>
          <w:caps w:val="false"/>
          <w:smallCaps w:val="false"/>
          <w:sz w:val="20"/>
        </w:rPr>
        <w:t xml:space="preserve"> are being replaced by next generation innovative solutions branded </w:t>
      </w:r>
      <w:r>
        <w:rPr>
          <w:rFonts w:ascii="Times New Roman;Times;Serif" w:hAnsi="Times New Roman;Times;Serif"/>
          <w:b w:val="false"/>
          <w:i/>
          <w:caps w:val="false"/>
          <w:smallCaps w:val="false"/>
          <w:sz w:val="20"/>
        </w:rPr>
        <w:t>Synchrony</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SynX</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Synchrony</w:t>
      </w:r>
      <w:r>
        <w:rPr>
          <w:rFonts w:ascii="Times New Roman;Times;Serif" w:hAnsi="Times New Roman;Times;Serif"/>
          <w:b w:val="false"/>
          <w:i w:val="false"/>
          <w:caps w:val="false"/>
          <w:smallCaps w:val="false"/>
          <w:sz w:val="20"/>
        </w:rPr>
        <w:t xml:space="preserve"> digitizes and modernizes the interventional cath lab with a 4K high-definition display that consolidates the viewing and control of disparate systems in the lab, offering enhanced procedure experience with custom layouts, streamlined workflows, an intuitive user interface, and a decluttered environment. </w:t>
      </w:r>
      <w:r>
        <w:rPr>
          <w:rFonts w:ascii="Times New Roman;Times;Serif" w:hAnsi="Times New Roman;Times;Serif"/>
          <w:b w:val="false"/>
          <w:i/>
          <w:caps w:val="false"/>
          <w:smallCaps w:val="false"/>
          <w:sz w:val="20"/>
        </w:rPr>
        <w:t>Synchrony</w:t>
      </w:r>
      <w:r>
        <w:rPr>
          <w:rFonts w:ascii="Times New Roman;Times;Serif" w:hAnsi="Times New Roman;Times;Serif"/>
          <w:b w:val="false"/>
          <w:i w:val="false"/>
          <w:caps w:val="false"/>
          <w:smallCaps w:val="false"/>
          <w:sz w:val="20"/>
        </w:rPr>
        <w:t xml:space="preserve"> is made available with </w:t>
      </w:r>
      <w:r>
        <w:rPr>
          <w:rFonts w:ascii="Times New Roman;Times;Serif" w:hAnsi="Times New Roman;Times;Serif"/>
          <w:b w:val="false"/>
          <w:i/>
          <w:caps w:val="false"/>
          <w:smallCaps w:val="false"/>
          <w:sz w:val="20"/>
        </w:rPr>
        <w:t>SynX,</w:t>
      </w:r>
      <w:r>
        <w:rPr>
          <w:rFonts w:ascii="Times New Roman;Times;Serif" w:hAnsi="Times New Roman;Times;Serif"/>
          <w:b w:val="false"/>
          <w:i w:val="false"/>
          <w:caps w:val="false"/>
          <w:smallCaps w:val="false"/>
          <w:sz w:val="20"/>
        </w:rPr>
        <w:t xml:space="preserve"> a cloud-based HIPAA and GDPR-compliant browser and mobile-based app that allows for secure remote connectivity, collaboration, recording, and monitoring of the cath lab. As these technologies gain regulatory approvals they are being commercialized alongside RMN systems and as stand-alone solutions.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pursue arrangements with fluoroscopy system manufacturers to provide such systems in a bundled purchase offer for hospitals establishing robotic interventional operating rooms. An integrated x-ray system is critical for customer adoption of RMN systems, and when offered as a bundled purchase with the RMN System, it may reduce the cost of acquisition, the ongoing cost of ownership, and the complexity of installation of a robotic electrophysiology practice.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We promote our full suite of products necessary for a typical hospital implementation, subject to regulatory approvals or clearances. This implementation requires a hospital to agree to an upfront capital payment and recurring payments. The upfront capital payment typically includes equipment and installation charges. The recurring payments typically include disposable costs for each procedure, equipment service costs beyond the warranty period, and ongoing software updates. In hospitals where our full suite of products has not been implemented, equipment upgrade or expansion can be implemented upon purchasing of the necessary upgrade or expansion.</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strategic relationships with technology leaders and innovators in the global interventional market. Through these strategic relationships we provide compatibility with our robotic magnetic navigation system, integrated x-ray systems, digital imaging and 3D catheter location sensing technology, and compatible disposable interventional devices. The maintenance of these strategic relationships, or the establishment of equivalent alternatives, is critical to our commercialization efforts. There are no guarantees that any existing strategic relationships will continue, and efforts are ongoing to ensure the availability of compatible systems and devices and/or equivalent alternatives. We cannot provide assurance as to the timeline of the ongoing availability of such compatible systems or our ability to obtain equivalent alternatives on competitive terms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incorporated in Delaware in June 1990. Our principal executive offices are located at 710 North Tucker Boulevard, Suite 110, Saint Louis, Missouri 63101, and our telephone number is (314) 678-6100. Our website address is www.stereotaxis.com. Information contained on our website is not incorporated by reference into and does not form any part of this prospectus. As used in this prospectus, references to “Company”, “we”, “our”, “us” and “Stereotaxis” refer to Stereotaxis, Inc. unless the context requires otherwise. GenesisX RMN</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Genesis RMN</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Niobe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Navigant</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Synchrony™, SynX™, Odyssey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Odyssey Cinema</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MAGiC™, MAGiC Sweep™, EMAGIN™, Map-iT™, QuikCAS</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Cardiodrive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Vdrive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Vdrive Duo</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V-CAS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V-Loop</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V-Sono</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and NuVizion™ are trademarks of Stereotaxis, Inc. All other trademarks that appear in this report are the property of their respective owners.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a high degree of risk. Prior to making a decision about investing in our securities, you should carefully consider the risks and uncertainties described under “Risk Factors” in our most recent Annual Report on Form 10-K, which is incorporated herein by reference, and may be amended, supplemented or superseded from time to time by other reports we file with the SEC in the future, together with all other information appearing in or incorporated by reference into this prospectus and any applicable prospectus supplement, in light of your particular investment objectives and financial circumstances. These risks could materially and adversely affect our business, results of operations and financial condition and could result in a partial or complete loss of your investment.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including the documents incorporated by reference herein, and any free writing prospectus that we have authorized for use in connection with this offering, contains “forward-looking” statements within the meaning of the Private Securities Litigation Reform Act of 1985. These forward-looking statements relate to, among other things:</w:t>
      </w:r>
    </w:p>
    <w:p>
      <w:pPr>
        <w:pStyle w:val="TextBody"/>
        <w:bidi w:val="0"/>
        <w:spacing w:before="0" w:after="0"/>
        <w:ind w:left="0" w:right="0" w:firstLine="720"/>
        <w:jc w:val="both"/>
        <w:rPr/>
      </w:pPr>
      <w:r>
        <w:rPr>
          <w:caps w:val="false"/>
          <w:smallCaps w:val="false"/>
        </w:rPr>
        <w:t> </w:t>
      </w:r>
      <w:r>
        <w:rPr/>
        <w:t xml:space="preserve"> </w:t>
      </w:r>
    </w:p>
    <w:tbl>
      <w:tblPr>
        <w:tblW w:w="9730" w:type="dxa"/>
        <w:jc w:val="left"/>
        <w:tblInd w:w="0" w:type="dxa"/>
        <w:tblLayout w:type="fixed"/>
        <w:tblCellMar>
          <w:top w:w="0" w:type="dxa"/>
          <w:left w:w="0" w:type="dxa"/>
          <w:bottom w:w="0" w:type="dxa"/>
          <w:right w:w="0" w:type="dxa"/>
        </w:tblCellMar>
      </w:tblPr>
      <w:tblGrid>
        <w:gridCol w:w="75"/>
        <w:gridCol w:w="170"/>
        <w:gridCol w:w="948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485" w:type="dxa"/>
            <w:tcBorders/>
            <w:vAlign w:val="center"/>
          </w:tcPr>
          <w:p>
            <w:pPr>
              <w:pStyle w:val="TableContents"/>
              <w:bidi w:val="0"/>
              <w:spacing w:before="0" w:after="283"/>
              <w:jc w:val="both"/>
              <w:rPr>
                <w:sz w:val="20"/>
              </w:rPr>
            </w:pPr>
            <w:r>
              <w:rPr>
                <w:sz w:val="20"/>
              </w:rPr>
              <w:t>our business, operating, sales and marketing, and regulatory strategies;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48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485" w:type="dxa"/>
            <w:tcBorders/>
            <w:vAlign w:val="center"/>
          </w:tcPr>
          <w:p>
            <w:pPr>
              <w:pStyle w:val="TableContents"/>
              <w:bidi w:val="0"/>
              <w:spacing w:before="0" w:after="283"/>
              <w:jc w:val="both"/>
              <w:rPr>
                <w:sz w:val="20"/>
              </w:rPr>
            </w:pPr>
            <w:r>
              <w:rPr>
                <w:sz w:val="20"/>
              </w:rPr>
              <w:t>our value proposition;</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48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485" w:type="dxa"/>
            <w:tcBorders/>
            <w:vAlign w:val="center"/>
          </w:tcPr>
          <w:p>
            <w:pPr>
              <w:pStyle w:val="TableContents"/>
              <w:bidi w:val="0"/>
              <w:spacing w:before="0" w:after="283"/>
              <w:jc w:val="both"/>
              <w:rPr>
                <w:sz w:val="20"/>
              </w:rPr>
            </w:pPr>
            <w:r>
              <w:rPr>
                <w:sz w:val="20"/>
              </w:rPr>
              <w:t>our overall liquidity and our ability to fund operations;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48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485" w:type="dxa"/>
            <w:tcBorders/>
            <w:vAlign w:val="center"/>
          </w:tcPr>
          <w:p>
            <w:pPr>
              <w:pStyle w:val="TableContents"/>
              <w:bidi w:val="0"/>
              <w:spacing w:before="0" w:after="283"/>
              <w:jc w:val="both"/>
              <w:rPr>
                <w:sz w:val="20"/>
              </w:rPr>
            </w:pPr>
            <w:r>
              <w:rPr>
                <w:sz w:val="20"/>
              </w:rPr>
              <w:t>our ability to convert backlog to revenue;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48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485" w:type="dxa"/>
            <w:tcBorders/>
            <w:vAlign w:val="center"/>
          </w:tcPr>
          <w:p>
            <w:pPr>
              <w:pStyle w:val="TableContents"/>
              <w:bidi w:val="0"/>
              <w:spacing w:before="0" w:after="283"/>
              <w:jc w:val="both"/>
              <w:rPr>
                <w:sz w:val="20"/>
              </w:rPr>
            </w:pPr>
            <w:r>
              <w:rPr>
                <w:sz w:val="20"/>
              </w:rPr>
              <w:t>the ability of physicians to perform certain medical procedures with our products safely, effectively and efficiently;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48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485" w:type="dxa"/>
            <w:tcBorders/>
            <w:vAlign w:val="center"/>
          </w:tcPr>
          <w:p>
            <w:pPr>
              <w:pStyle w:val="TableContents"/>
              <w:bidi w:val="0"/>
              <w:spacing w:before="0" w:after="283"/>
              <w:jc w:val="both"/>
              <w:rPr>
                <w:sz w:val="20"/>
              </w:rPr>
            </w:pPr>
            <w:r>
              <w:rPr>
                <w:sz w:val="20"/>
              </w:rPr>
              <w:t>the adoption of our products by hospitals and physicians;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48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485" w:type="dxa"/>
            <w:tcBorders/>
            <w:vAlign w:val="center"/>
          </w:tcPr>
          <w:p>
            <w:pPr>
              <w:pStyle w:val="TableContents"/>
              <w:bidi w:val="0"/>
              <w:spacing w:before="0" w:after="283"/>
              <w:jc w:val="both"/>
              <w:rPr>
                <w:sz w:val="20"/>
              </w:rPr>
            </w:pPr>
            <w:r>
              <w:rPr>
                <w:sz w:val="20"/>
              </w:rPr>
              <w:t>the market opportunity for our products, including expected demand for our products;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48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485" w:type="dxa"/>
            <w:tcBorders/>
            <w:vAlign w:val="center"/>
          </w:tcPr>
          <w:p>
            <w:pPr>
              <w:pStyle w:val="TableContents"/>
              <w:bidi w:val="0"/>
              <w:spacing w:before="0" w:after="283"/>
              <w:jc w:val="both"/>
              <w:rPr>
                <w:sz w:val="20"/>
              </w:rPr>
            </w:pPr>
            <w:r>
              <w:rPr>
                <w:sz w:val="20"/>
              </w:rPr>
              <w:t>the timing and prospects for regulatory approval of our additional disposable interventional devices;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48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485" w:type="dxa"/>
            <w:tcBorders/>
            <w:vAlign w:val="center"/>
          </w:tcPr>
          <w:p>
            <w:pPr>
              <w:pStyle w:val="TableContents"/>
              <w:bidi w:val="0"/>
              <w:spacing w:before="0" w:after="283"/>
              <w:jc w:val="both"/>
              <w:rPr>
                <w:sz w:val="20"/>
              </w:rPr>
            </w:pPr>
            <w:r>
              <w:rPr>
                <w:sz w:val="20"/>
              </w:rPr>
              <w:t>the success of our business partnerships and strategic relationships;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48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485" w:type="dxa"/>
            <w:tcBorders/>
            <w:vAlign w:val="center"/>
          </w:tcPr>
          <w:p>
            <w:pPr>
              <w:pStyle w:val="TableContents"/>
              <w:bidi w:val="0"/>
              <w:spacing w:before="0" w:after="283"/>
              <w:jc w:val="both"/>
              <w:rPr>
                <w:sz w:val="20"/>
              </w:rPr>
            </w:pPr>
            <w:r>
              <w:rPr>
                <w:sz w:val="20"/>
              </w:rPr>
              <w:t>our industry generally, and overall macroeconomic conditions;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48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485" w:type="dxa"/>
            <w:tcBorders/>
            <w:vAlign w:val="center"/>
          </w:tcPr>
          <w:p>
            <w:pPr>
              <w:pStyle w:val="TableContents"/>
              <w:bidi w:val="0"/>
              <w:spacing w:before="0" w:after="283"/>
              <w:jc w:val="both"/>
              <w:rPr>
                <w:sz w:val="20"/>
              </w:rPr>
            </w:pPr>
            <w:r>
              <w:rPr>
                <w:sz w:val="20"/>
              </w:rPr>
              <w:t>our estimates regarding our capital requirements;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48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485" w:type="dxa"/>
            <w:tcBorders/>
            <w:vAlign w:val="center"/>
          </w:tcPr>
          <w:p>
            <w:pPr>
              <w:pStyle w:val="TableContents"/>
              <w:bidi w:val="0"/>
              <w:spacing w:before="0" w:after="283"/>
              <w:jc w:val="both"/>
              <w:rPr>
                <w:sz w:val="20"/>
              </w:rPr>
            </w:pPr>
            <w:r>
              <w:rPr>
                <w:sz w:val="20"/>
              </w:rPr>
              <w:t>our plans for hiring additional personnel;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48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85" w:type="dxa"/>
            <w:tcBorders/>
            <w:vAlign w:val="center"/>
          </w:tcPr>
          <w:p>
            <w:pPr>
              <w:pStyle w:val="TableContents"/>
              <w:bidi w:val="0"/>
              <w:spacing w:before="0" w:after="283"/>
              <w:jc w:val="left"/>
              <w:rPr>
                <w:sz w:val="20"/>
              </w:rPr>
            </w:pPr>
            <w:r>
              <w:rPr>
                <w:sz w:val="20"/>
              </w:rPr>
              <w:t>any of our other plans, objectives, expectations and intentions contained in this annual report are not historical facts.</w:t>
            </w:r>
          </w:p>
        </w:tc>
      </w:tr>
    </w:tbl>
    <w:p>
      <w:pPr>
        <w:pStyle w:val="TextBody"/>
        <w:bidi w:val="0"/>
        <w:spacing w:before="0" w:after="283"/>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relate to future events or future financial performance, and are subject to known and unknown risks, uncertainties, and other factors that may cause our actual results, levels of activity, performance or achievements to be materially different from any future results, levels of activity, performance or achievements expressed or implied by such forward-looking statements. In some cases, you can identify forward-looking statements by terminology such as “may”, “will”, “should”, “could”, “expects”, “plans”, “intends”, “anticipates”, “believes”, “estimates”, “predicts”, “potential”, or “continue”, or the negative of such terms or other comparable terminology. Although we believe that the expectations reflected in the forward-looking statements are reasonable, we cannot guarantee future results, levels of activity, performance, or achievements. These statements are only predictions.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that may cause our actual results to differ materially from those expressed or implied in forward-looking statements include, among others, changes in general economic and business conditions and the risks and other factors set forth in “Item 1A—Risk Factors” and elsewhere in our most recent Annual Report on Form 10-K, which is incorporated herein by reference, and may be amended, supplemented or superseded from time to time by other reports we file with the SEC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actual results may be materially different from what we expect. Therefore, you should not rely upon forward-looking statements as predictions of future events. We undertake no duty to update or revise such forward-looking statements after the date of this prospectus, whether as a result of new information, future events or otherwise. We qualify all of our forward-looking statements by these cautionary statements.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a prospectus supplement, we intend to use the net proceeds of any offering of securities sold by us for general corporate purposes, which may include acquisitions, repayment of debt, capital expenditures and working capital requirements. The net proceeds may be invested temporarily in short-term marketable securities or applied to repay short-term debt until they are used for their stated purpose.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yet determined the amount or timing of the expenditures for each of the categories listed above and these expenditures may vary significantly depending on a variety of factors, including the timing of additional regulatory approvals and new product introductions. As a result, unless otherwise indicated in the applicable prospectus supplement, our management will retain broad discretion in the allocation and use of the net proceeds of this offering.</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DESCRIPTION OF DEBT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that we may issue will constitute debentures, notes, bonds or other evidences of indebtedness of Stereotaxis, to be issued in one or more series, which may include senior debt securities, subordinated debt securities and senior subordinated debt securities. The particular terms of any series of debt securities we offer, including the extent to which the general terms set forth below may be applicable to a particular series, will be described in a prospectus supplement relating to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 that we may issue will be issued under an indenture between us and a trustee qualified to act as such under the Trust Indenture Act of 1939. We have filed the form of the indenture as an exhibit to the Registration Statement of which this prospectus is a part. When we refer to the “indenture” in this prospectus, we are referring to the indenture under which debt securities are issued as supplemented by any supplemental indenture applicable to such debt securities. We will provide the name of the trustee in any prospectus supplement related to the issuance of debt securities, and we will also provide certain other information related to the trustee, including describing any relationship we have with the trustee, in such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following description is a summary of the material provision of the indenture. It does not restate the terms of the indenture in their entirety. The indenture is governed by the Trust Indenture Act of 1939. The terms of the debt securities include those stated in the indenture and those made part of the indenture by reference to the Trust Indenture Act. We urge you to read the indenture because it, and not this description, defines your rights as a holder of the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You Will Find In The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provides that we may issue debt securities from time to time in one or more series and that we may denominate the debt securities and make them payable in foreign currencies. The indenture does not limit the aggregate principal amount of debt securities that can be issued thereunder. The prospectus supplement for a series of debt securities will provide information relating to the terms of the series of debt securities being offered, which may include: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title and denominations of the debt securities of the series;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any limit on the aggregate principal amount of the debt securities of the series;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date or dates on which the principal and premium, if any, with respect to the debt securities of the series are payable or the method of determination thereof;</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rate or rates, which may be fixed or variable, at which the debt securities of the series shall bear interest, if any, or the method of calculating and/or resetting such rate or rates of interest;</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dates from which such interest shall accrue or the method by which such dates shall be determined and the duration of the extensions and the basis upon which interest shall be calculated;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interest payment dates for the series of debt securities or the method by which such dates will be determined, the terms of any deferral of interest and any right of ours to extend the interest payments periods;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place or places where the principal and interest on the series of debt securities will be payable;</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terms and conditions upon which debt securities of the series may be redeemed, in whole or in part, at our option or otherwise;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our obligation, if any, to redeem, purchase, or repay debt securities of the series pursuant to any sinking fund or other specified event or at the option of the holders and the terms of any such redemption, purchase, or repayment;</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terms, if any, upon which the debt securities of the series may be convertible into or exchanged for other securities, including, among other things, the initial conversion or exchange price or rate and the conversion or exchange period;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if the amount of principal, premium, if any, or interest with respect to the debt securities of the series may be determined with reference to an index or formula, the manner in which such amounts will be determined;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if any payments on the debt securities of the series are to be made in a currency or currencies (or by reference to an index or formula) other than that in which such securities are denominated or designated to be payable, the currency or currencies (or index or formula) in which such payments are to be made and the terms and conditions of such payments;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any changes or additions to the provisions of the indenture dealing with defeasance, including any additional covenants that may be subject to our covenant defeasance option;</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currency or currencies in which payment of the principal and premium, if any, and interest with respect to debt securities of the series will be payable, or in which the debt securities of the series shall be denominated, and the particular provisions applicable thereto in accordance with the indenture;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portion of the principal amount of debt securities of the series which will be payable upon declaration of acceleration or provable in bankruptcy or the method by which such portion or amount shall be determined;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whether the debt securities of the series will be secured or guaranteed and, if so, on what terms;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any addition to or change in the events of default with respect to the debt securities of the series;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identity of any trustees, authenticating or paying agents, transfer agents or registrars;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applicability of, and any addition to or change in, the covenants currently set forth in the indenture;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subordination, ranking or priority, if any, of the debt securities of the series and terms of the subordination;</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any other terms of the debt securities of the series which are not prohibited by the indenture;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whether securities of the series shall be issuable as registered securities or bearer securities (with or without interest coupons), and any restrictions applicable to the offering, sale or delivery of such bearer securities and the terms upon which such bearer securities of a series may be exchanged for registered securities, and vice versa.</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debt securities may present debt securities for exchange in the manner, at the places, and subject to the restrictions set forth in the debt securities, the indenture, and the applicable prospectus supplement. We will provide these services without charge, other than any tax or other governmental charge payable in connection therewith, but subject to the limitations provided in the indenture, any board resolution establishing such debt securities and any applicable indenture supplement. Debt securities in bearer form and the coupons, if any, appertaining thereto will be transferable by delivery.</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Senior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senior debt securities under the indenture and any coupons that will constitute part of our senior debt. Unless otherwise set forth in the applicable indenture supplement and described in the applicable prospectus supplement, the senior debt securities will be senior unsecured obligations, ranking equally with all of our existing and future senior unsecured debt. The senior debt securities will be senior to all of our subordinated debt and junior to any secured debt we may incur as to the assets securing such debt.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Subordinated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subordinated debt securities under the indenture and any coupons that will constitute part of such subordinated debt. These subordinated debt securities will be subordinate and junior in right of payment, to the extent and in the manner set forth in the indenture and any applicable indenture supplement, to all of our senior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prospectus is being delivered in connection with a series of subordinated debt securities, the accompanying prospectus supplement or the information incorporated by reference will set forth the approximate amount of senior indebtedness outstanding as of the end of the most recent fiscal quarter.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Senior Subordinated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senior subordinated debt securities under the indenture and any coupons that will constitute part of our senior subordinated debt. These senior subordinated debt securities will be, to the extent and in the manner set forth in the applicable indenture supplement, subordinate and junior in right of payment to all of our “senior indebtedness” and senior to our other subordinated debt. See the discussions above under “—Senior Debt” and “—Subordinated Debt” for a more detailed explanation of our senior and subordinated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 that bear interest will do so at a fixed rate or a floating rate. We may sell, at a discount below the stated principal amount, any debt securities which bear no interest or which bear interest at a rate that at the time of issuance is below the prevailing market rate. The relevant prospectus supplement will describe the special United States federal income tax considerations applicable to:</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any discounted debt securities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any debt securities issued at par which are treated as having been issued at a discount for United States federal income tax purposes.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Global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registered debt securities of a series in the form of one or more fully registered global securities. We will deposit the registered global security with a depository or with a nominee for a depository identified in the prospectus supplement relating to such series. The global security or global securities will represent and will be in a denomination or aggregate denominations equal to the portion of the aggregate principal amount of outstanding registered debt securities of the series to be represented by the registered global security or securities. Unless it is exchanged in whole or in part for debt securities in definitive registered form, a registered global security may not be transferred, except as a whole in three cases:</w:t>
      </w:r>
    </w:p>
    <w:p>
      <w:pPr>
        <w:pStyle w:val="TextBody"/>
        <w:bidi w:val="0"/>
        <w:spacing w:before="0" w:after="0"/>
        <w:ind w:left="0" w:right="0" w:firstLine="720"/>
        <w:jc w:val="both"/>
        <w:rPr>
          <w:caps w:val="false"/>
          <w:smallCaps w:val="false"/>
        </w:rPr>
      </w:pPr>
      <w:r>
        <w:rPr>
          <w:caps w:val="false"/>
          <w:smallCaps w:val="false"/>
        </w:rPr>
        <w:t> </w:t>
      </w:r>
    </w:p>
    <w:tbl>
      <w:tblPr>
        <w:tblW w:w="8050" w:type="dxa"/>
        <w:jc w:val="left"/>
        <w:tblInd w:w="0" w:type="dxa"/>
        <w:tblLayout w:type="fixed"/>
        <w:tblCellMar>
          <w:top w:w="0" w:type="dxa"/>
          <w:left w:w="0" w:type="dxa"/>
          <w:bottom w:w="0" w:type="dxa"/>
          <w:right w:w="0" w:type="dxa"/>
        </w:tblCellMar>
      </w:tblPr>
      <w:tblGrid>
        <w:gridCol w:w="75"/>
        <w:gridCol w:w="170"/>
        <w:gridCol w:w="780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7805" w:type="dxa"/>
            <w:tcBorders/>
            <w:vAlign w:val="center"/>
          </w:tcPr>
          <w:p>
            <w:pPr>
              <w:pStyle w:val="TableContents"/>
              <w:bidi w:val="0"/>
              <w:spacing w:before="0" w:after="283"/>
              <w:jc w:val="both"/>
              <w:rPr>
                <w:sz w:val="20"/>
              </w:rPr>
            </w:pPr>
            <w:r>
              <w:rPr>
                <w:sz w:val="20"/>
              </w:rPr>
              <w:t>by the depository for the registered global security to a nominee of the depository;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78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7805" w:type="dxa"/>
            <w:tcBorders/>
            <w:vAlign w:val="center"/>
          </w:tcPr>
          <w:p>
            <w:pPr>
              <w:pStyle w:val="TableContents"/>
              <w:bidi w:val="0"/>
              <w:spacing w:before="0" w:after="283"/>
              <w:jc w:val="both"/>
              <w:rPr>
                <w:sz w:val="20"/>
              </w:rPr>
            </w:pPr>
            <w:r>
              <w:rPr>
                <w:sz w:val="20"/>
              </w:rPr>
              <w:t>by a nominee of the depository to the depository or another nominee of the depository;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78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7805" w:type="dxa"/>
            <w:tcBorders/>
            <w:vAlign w:val="center"/>
          </w:tcPr>
          <w:p>
            <w:pPr>
              <w:pStyle w:val="TableContents"/>
              <w:bidi w:val="0"/>
              <w:spacing w:before="0" w:after="283"/>
              <w:jc w:val="both"/>
              <w:rPr>
                <w:sz w:val="20"/>
              </w:rPr>
            </w:pPr>
            <w:r>
              <w:rPr>
                <w:sz w:val="20"/>
              </w:rPr>
              <w:t>by the depository or any nominee to a successor of the depository or a nominee of the successor.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 series of debt securities will describe the specific terms of the depository arrangement concerning any portion of that series of debt securities to be represented by a registered global security. We anticipate that the following provisions will generally apply to all depository arrangements.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issuance of a registered global security, the depository will credit, on its book-entry registration and transfer system, the principal amounts of the debt securities represented by the registered global security to the accounts of persons that have accounts with the depository. These persons are referred to as “participants.” Any underwriters, agents or debtors participating in the distribution of debt securities represented by the registered global security will designate the accounts to be credited. Only participants or persons that hold interests through participants will be able to beneficially own interests in a registered global security. The depository for a global security will maintain records of beneficial ownership interests in a registered global security for participants. Participants or persons that hold through participants will maintain records of beneficial ownership interests in a global security for persons other than participants. These records will be the only means to transfer beneficial ownership in a registered global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laws of some states may require that specified purchasers of securities take physical delivery of the securities in definitive form. These laws may limit the ability of those persons to own, transfer or pledge beneficial interests in global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the depository, or its nominee, is the registered owner of a registered global security, the depository or its nominee will be considered the sole owner or holder of the debt securities represented by the registered global security for all purposes under the indenture. Except as set forth below, owners of beneficial interests in a registered global security:</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may not have the debt securities represented by a registered global security registered in their names;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will not receive or be entitled to receive physical delivery of debt securities represented by a registered global security in definitive form;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will not be considered the owners or holders of debt securities represented by a registered global security under the indenture.</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each person owning a beneficial interest in a registered global security must rely on the procedures of the depository for the registered global security and, if the person is not a participant, on the procedures of the participant through which the person owns its interests, to exercise any rights of a holder under the indenture applicable to the registered global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understand that, under existing industry practices, if we request any action of holders, or if an owner of a beneficial interest in a registered global security desires to give or take any action which a holder is entitled to give or take under the indenture, the depository for the registered global security would authorize the participants holding the relevant beneficial interests to give or take the action, and the participants would authorize beneficial owners owning through the participants to give or take the action or would otherwise act upon the instructions of beneficial owners holding through them.</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of Interest on and Principal of Registered Global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make principal, premium, if any, and interest payments on debt securities represented by a registered global security registered in the name of a depository or its nominee to the depository or its nominee as the registered owner of the registered global security. None of Stereotaxis, the trustee, or any paying agent for debt securities represented by a registered global security will have any responsibility or liability for:</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any aspect of the records relating to, or payments made on account of, beneficial ownership interests in such registered global security;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maintaining, supervising, or reviewing any records relating to beneficial ownership interests;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payments to beneficial owners of the global security of amounts paid to the depository or its nominee; or</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any other matter relating to the actions and practices of the depository, its nominee or any of its participants.</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the depository, upon receipt of any payment of principal, premium or interest in respect of the global security, will immediately credit participants’ accounts with payments in amounts proportionate to their beneficial interests in the principal amount of a registered global security as shown on the depository’s records. We also expect that payments by participants to owners of beneficial interests in a registered global security held through participants will be governed by standing instructions and customary practices. This is currently the case with the securities held for the accounts of customers registered in “street name.” Such payments will be the responsibility of participants.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of Registered Global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in definitive form in exchange for the registered global security if both of the following occur:</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depository for any debt securities represented by a registered global security is at any time unwilling or unable to continue as depository or ceases to be a clearing agency registered under the Exchange Act;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we do not appoint a successor depository within 90 days.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at any time, determine not to have any of the debt securities of a series represented by one or more registered global securities. In this event, we will issue debt securities of that series in definitive form in exchange for all of the registered global security or securities representing those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Covenants by Stereotaxis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includes covenants by us, including among other things that we will make all payments of principal, or premium, if any, and interest at the times and places required. The supplemental indenture establishing each series of debt securities may contain additional covenants, including covenants which could restrict our right to incur additional indebtedness or liens and to take certain actions with respect to our businesses and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Events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applicable prospectus supplement, the following will be events of default under the indenture with respect to each series of debt securities issued under the indenture:</w:t>
      </w:r>
    </w:p>
    <w:p>
      <w:pPr>
        <w:pStyle w:val="TextBody"/>
        <w:bidi w:val="0"/>
        <w:spacing w:before="0" w:after="0"/>
        <w:ind w:left="0" w:right="0" w:firstLine="720"/>
        <w:jc w:val="both"/>
        <w:rPr>
          <w:caps w:val="false"/>
          <w:smallCaps w:val="false"/>
        </w:rPr>
      </w:pPr>
      <w:r>
        <w:rPr>
          <w:caps w:val="false"/>
          <w:smallCaps w:val="false"/>
        </w:rPr>
        <w:t> </w:t>
      </w:r>
    </w:p>
    <w:tbl>
      <w:tblPr>
        <w:tblW w:w="7960" w:type="dxa"/>
        <w:jc w:val="left"/>
        <w:tblInd w:w="0" w:type="dxa"/>
        <w:tblLayout w:type="fixed"/>
        <w:tblCellMar>
          <w:top w:w="0" w:type="dxa"/>
          <w:left w:w="0" w:type="dxa"/>
          <w:bottom w:w="0" w:type="dxa"/>
          <w:right w:w="0" w:type="dxa"/>
        </w:tblCellMar>
      </w:tblPr>
      <w:tblGrid>
        <w:gridCol w:w="75"/>
        <w:gridCol w:w="170"/>
        <w:gridCol w:w="771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7715" w:type="dxa"/>
            <w:tcBorders/>
            <w:vAlign w:val="center"/>
          </w:tcPr>
          <w:p>
            <w:pPr>
              <w:pStyle w:val="TableContents"/>
              <w:bidi w:val="0"/>
              <w:spacing w:before="0" w:after="283"/>
              <w:jc w:val="both"/>
              <w:rPr>
                <w:sz w:val="20"/>
              </w:rPr>
            </w:pPr>
            <w:r>
              <w:rPr>
                <w:sz w:val="20"/>
              </w:rPr>
              <w:t>failure to pay when due any interest on any debt security of that series, continued for 30 days;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7715" w:type="dxa"/>
            <w:tcBorders/>
            <w:vAlign w:val="center"/>
          </w:tcPr>
          <w:p>
            <w:pPr>
              <w:pStyle w:val="TableContents"/>
              <w:bidi w:val="0"/>
              <w:spacing w:before="0" w:after="283"/>
              <w:jc w:val="both"/>
              <w:rPr>
                <w:sz w:val="20"/>
              </w:rPr>
            </w:pPr>
            <w:r>
              <w:rPr>
                <w:sz w:val="20"/>
              </w:rPr>
              <w:t>failure to pay when due the principal of, or premium, if any, on, any debt security of that series;</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default in the payment of any sinking fund installment with respect to any debt security of that series when due and payable;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failure to perform any other covenant or agreement of ours under the indenture or the supplemental indenture with respect to that series or the debt securities of that series, continued for 90 days after written notice to us by the trustee or holders of at least 25% in aggregate principal amount of the outstanding debt securities of the series to which the covenant or agreement relates;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certain events of bankruptcy, insolvency or similar proceedings affecting us;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any other event of default specified in any supplemental indenture under which such series of debt securities is issued.</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to certain events of bankruptcy, insolvency or similar proceedings affecting us and except as provided in the applicable prospectus supplement, if any event of default shall occur and be continuing with respect to any series of debt securities under the indenture, either the trustee or the holders of at least 25% in aggregate principal amount of outstanding debt securities of such series may accelerate the maturity of all debt securities of such series. Upon certain events of bankruptcy, insolvency or similar proceedings affecting us, the principal, premium, if any, and interest on all debt securities of each series shall be immediately due and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any such acceleration, but before a judgment or decree based on acceleration has been obtained by the trustee, the holders of a majority in aggregate principal amount of each affected series of debt securities may waive all defaults with respect to such series and rescind and annul such acceleration if all events of default, other than the non-payment of accelerated principal, have been cured, waived or otherwise remedied.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any debt securities will have any right to institute any proceeding with respect to the indenture or for any remedy under the indenture, unless such holder shall have previously given to the trustee written notice of a continuing event of default and the holders of at least 25% in aggregate principal amount of the outstanding debt securities of the relevant series shall have made written request and offered indemnity satisfactory to the trustee to institute such proceeding as trustee, and the trustee shall not have received from the holders of a majority in aggregate principal amount of the outstanding debt securities of such series a direction inconsistent with such request and shall have failed to institute such proceeding within 60 days. However, such limitations do not apply to a suit instituted by a holder of a debt security for enforcement of payment of the principal of and premium, if any, or interest on such debt security on or after the respective due dates expressed in such debt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Indentures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trustee may, at any time and from time to time, without prior notice to or consent of any holders of debt securities, enter into one or more indentures supplemental to the indenture, among other things: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to add guarantees to or secure any series of debt securities;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to provide for the succession of another person pursuant to the provisions of the indenture relating to consolidations, mergers and sales of assets and the assumption by such successor of our covenants, agreements, and obligations, or to otherwise comply with the provisions of the indenture relating to consolidations, mergers, and sales of assets;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to surrender any right or power conferred upon us under the indenture or to add to our covenants further covenants, restrictions, conditions or provisions for the protection of the holders of all or any series of debt securities;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to cure any ambiguity or to correct or supplement any provision contained in the indenture, in any supplemental indenture that may be defective or inconsistent with any other provision contained therein;</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to modify or amend the indenture in such a manner as to permit the qualification of the indenture or any supplemental indenture under the Trust Indenture Act;</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to add to or change any of the provisions of the indenture to supplement any of the provisions of the indenture in order to permit the defeasance and discharge of any series of debt securities pursuant to the indenture, so long as any such action does not adversely affect the interests of the holders of debt securities of any series in any material respect;</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to add to, change, or eliminate any of the provisions of the indenture with respect to one or more series of debt securities, so long as any such addition, change or elimination shall not apply to any debt securities of any series created prior to the execution of such supplemental indenture and entitled to the benefit of such provision;</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to evidence and provide for the acceptance of appointment by a successor or separate trustee;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to establish the form or terms of debt securities of any series and to make any change that does not adversely affect the interests of the holders of debt securities.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consent of the holders of at least a majority in principal amount of debt securities of each series affected by such supplemental indenture (each series voting as one class), we and the trustee may enter into one or more supplemental indentures for the purpose of adding any provisions to or changing in any manner or eliminating any of the provisions of the indenture or modifying in any manner the rights of the holders of debt securities of each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our rights and the rights of the trustee to enter into one or more supplemental indentures with the consent of the holders of debt securities of the affected series as described above, no such supplemental indenture shall, without the consent of the holder of each outstanding debt security of the affected series, among other things: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change the final maturity of the principal of, or any installment of interest on, any debt securities;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reduce the principal amount of any debt securities or the rate of interest on any debt securities;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change the currency in which any debt securities are payable;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impair the right of the holders to conduct a proceeding for any remedy available to the trustee;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reduce the percentage in principal amount of any series of debt securities whose holders must consent to an amendment or supplemental indenture;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reduce any premium payable upon the redemption of any debt securities; or</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make any change that adversely affects the relative rights of holders of subordinated debt securities with respect to senior debt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Satisfaction and Discharge of the Indenture; Defeasance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to the extent set forth in a supplemental indenture with respect to any series of debt securities, we, at our election, may satisfy and discharge the indenture and the indenture shall generally cease to be of any further effect with respect to that series of debt securities if (i) either (a) we have delivered to the trustee for cancellation all debt securities of that series (with certain limited exceptions), or (b) all debt securities of that series not previously delivered to the trustee for cancellation shall have become due and payable, or are by their terms to become due and payable within one year or are to be called for redemption within one year, and we have deposited with the trustee the entire amount sufficient to pay at maturity or upon redemption all such debt securities; (ii) we have paid or caused to be paid all other sums payable under the indenture by us; and (iii) we have delivered to the trustee an officer’s certificate and an opinion of counsel, each stating that all conditions precedent under the indenture relating to the satisfaction and discharge of the indenture relating to the satisfaction and discharge have been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a “legal defeasance option” (pursuant to which we may terminate, with respect to the debt securities of a particular series, all of our obligations under such debt securities and the indenture with respect to such debt securities) and a “covenant defeasance option” (pursuant to which we may terminate, with respect to the debt securities of a particular series, our obligations with respect to such debt securities under certain specified covenants contained in the indenture). If we exercise our legal defeasance option with respect to a series of debt securities, payment of such debt securities may not be accelerated because of an event of default. If we exercise our covenant defeasance option with respect to a series of debt securities, payment of such debt securities may not be accelerated because of an event of default related to the specified covenants.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exercise our legal defeasance option or our covenant defeasance option with respect to the debt securities of a series only if we irrevocably deposit in trust with the trustee cash or U.S. government obligations (as defined in the indenture) for the payment of principal, premium, if any, and interest with respect to such debt securities to maturity or redemption, as the case may be. In addition, to exercise either of our defeasance options, we must comply with certain other conditions, including the delivery to the trustee of an opinion of counsel to the effect that the holders of debt securities of such series will not recognize income, gain or loss for Federal income tax purposes as a result of such defeasance and will be subject to Federal income tax on the same amounts, in the same manner and at the same times as would have been the case if such defeasance had not occurred (and, in the case of legal defeasance only, such opinion of counsel must be based on a ruling from the Internal Revenue Service or other change in applicable Federal income tax law).</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will hold in trust the cash or U.S. government obligations deposited with it as described above and will apply the deposited cash and the proceeds from deposited U.S. government obligations to the payment of principal, premium, if any, and interest with respect to the debt securities of the defeased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Mergers, Consolidations and Certain Sales of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consolidate with or merge into any other person or entity or permit any other person or entity to consolidate with or merge into us in a transaction in which we are not the surviving entity, or transfer, lease or dispose of all or substantially all of our assets to any other person or entity unless: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resulting, surviving or transferee entity shall be a corporation organized and existing under the laws of the United States or any state thereof and such resulting, surviving or transferee entity shall expressly assume, by supplemental indenture, executed and delivered in form satisfactory to the trustee, all of our obligations under the debt securities and the indenture;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immediately after giving effect to such transaction (and treating any indebtedness which becomes an obligation of the resulting, surviving or transferee entity as a result of such transaction as having been incurred by such entity at the time of such transaction), no default or event of default would occur or be continuing;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we shall have delivered to the trustee an officer’s certificate and an opinion of counsel, each stating that such consolidation, merger or transfer and such supplemental indenture (if any) comply with the indenture (except that such opinion of counsel need not opine as to the matters set forth in the second bullet-point above).</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and the debt securities will be governed by the laws of the State of New York.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Personal Liability of Directors, Officers, Employees and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director, officer, incorporator or stockholder of Stereotaxis, as such, shall have any liability for any obligations of Stereotaxis under the debt securities or the indenture or for any claim based on, in respect of, or by reason of, such obligations or their creation, solely by reason of his, her, or its status as director, officer, incorporator or stockholder of Stereotaxis. By accepting a debt security, each holder waives and releases all such liability, but only such liability. The waiver and release are part of the consideration for issuance of the debt securities. Nevertheless, such waiver may not be effective to waive liabilities under the federal securities laws and it has been the view of the SEC that such a waiver is against public policy.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or Exchange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debt securities offered hereby may be convertible into or exchangeable for shares of our equity or other securities. The terms and conditions of such conversion or exchange will be set forth in the applicable prospectus supplement. Such terms may include, among others, the following:</w:t>
      </w:r>
    </w:p>
    <w:p>
      <w:pPr>
        <w:pStyle w:val="TextBody"/>
        <w:bidi w:val="0"/>
        <w:spacing w:before="0" w:after="0"/>
        <w:ind w:left="0" w:right="0" w:firstLine="720"/>
        <w:jc w:val="both"/>
        <w:rPr>
          <w:caps w:val="false"/>
          <w:smallCaps w:val="false"/>
        </w:rPr>
      </w:pPr>
      <w:r>
        <w:rPr>
          <w:caps w:val="false"/>
          <w:smallCaps w:val="false"/>
        </w:rPr>
        <w:t> </w:t>
      </w:r>
    </w:p>
    <w:tbl>
      <w:tblPr>
        <w:tblW w:w="8275" w:type="dxa"/>
        <w:jc w:val="left"/>
        <w:tblInd w:w="0" w:type="dxa"/>
        <w:tblLayout w:type="fixed"/>
        <w:tblCellMar>
          <w:top w:w="0" w:type="dxa"/>
          <w:left w:w="0" w:type="dxa"/>
          <w:bottom w:w="0" w:type="dxa"/>
          <w:right w:w="0" w:type="dxa"/>
        </w:tblCellMar>
      </w:tblPr>
      <w:tblGrid>
        <w:gridCol w:w="75"/>
        <w:gridCol w:w="170"/>
        <w:gridCol w:w="803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030" w:type="dxa"/>
            <w:tcBorders/>
            <w:vAlign w:val="center"/>
          </w:tcPr>
          <w:p>
            <w:pPr>
              <w:pStyle w:val="TableContents"/>
              <w:bidi w:val="0"/>
              <w:spacing w:before="0" w:after="283"/>
              <w:jc w:val="both"/>
              <w:rPr>
                <w:sz w:val="20"/>
              </w:rPr>
            </w:pPr>
            <w:r>
              <w:rPr>
                <w:sz w:val="20"/>
              </w:rPr>
              <w:t>the conversion or exchange price;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030" w:type="dxa"/>
            <w:tcBorders/>
            <w:vAlign w:val="center"/>
          </w:tcPr>
          <w:p>
            <w:pPr>
              <w:pStyle w:val="TableContents"/>
              <w:bidi w:val="0"/>
              <w:spacing w:before="0" w:after="283"/>
              <w:jc w:val="both"/>
              <w:rPr>
                <w:sz w:val="20"/>
              </w:rPr>
            </w:pPr>
            <w:r>
              <w:rPr>
                <w:sz w:val="20"/>
              </w:rPr>
              <w:t>the conversion or exchange period;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030" w:type="dxa"/>
            <w:tcBorders/>
            <w:vAlign w:val="center"/>
          </w:tcPr>
          <w:p>
            <w:pPr>
              <w:pStyle w:val="TableContents"/>
              <w:bidi w:val="0"/>
              <w:spacing w:before="0" w:after="283"/>
              <w:jc w:val="both"/>
              <w:rPr>
                <w:sz w:val="20"/>
              </w:rPr>
            </w:pPr>
            <w:r>
              <w:rPr>
                <w:sz w:val="20"/>
              </w:rPr>
              <w:t>provisions regarding our ability or that of the holder to convert or exchange the debt securities;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030" w:type="dxa"/>
            <w:tcBorders/>
            <w:vAlign w:val="center"/>
          </w:tcPr>
          <w:p>
            <w:pPr>
              <w:pStyle w:val="TableContents"/>
              <w:bidi w:val="0"/>
              <w:spacing w:before="0" w:after="283"/>
              <w:jc w:val="both"/>
              <w:rPr>
                <w:sz w:val="20"/>
              </w:rPr>
            </w:pPr>
            <w:r>
              <w:rPr>
                <w:sz w:val="20"/>
              </w:rPr>
              <w:t>events requiring adjustment to the conversion or exchange price;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030" w:type="dxa"/>
            <w:tcBorders/>
            <w:vAlign w:val="center"/>
          </w:tcPr>
          <w:p>
            <w:pPr>
              <w:pStyle w:val="TableContents"/>
              <w:bidi w:val="0"/>
              <w:spacing w:before="0" w:after="283"/>
              <w:jc w:val="both"/>
              <w:rPr>
                <w:sz w:val="20"/>
              </w:rPr>
            </w:pPr>
            <w:r>
              <w:rPr>
                <w:sz w:val="20"/>
              </w:rPr>
              <w:t>provisions affecting conversion or exchange in the event of our redemption of such debt securities.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Concerning the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provides that there may be more than one trustee with respect to one or more series of debt securities. If there are different trustees for different series of debt securities, each trustee will be a trustee of a trust under a supplemental indenture separate and apart from the trust administered by any other trustee under such indenture. Except as otherwise indicated in this prospectus or any prospectus supplement, any action permitted to be taken by a trustee may be taken by the trustee only with respect to the one or more series of debt securities for which it is the trustee under an indenture. Any trustee under the indenture or a supplemental indenture may resign or be removed with respect to one or more series of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contains limitations on the right of the trustee, should it become a creditor of Stereotaxis, to obtain payment of claims in certain cases or to realize on certain property received in respect of any such claim as security or otherwise. If the trustee acquires an interest that conflicts with, within the meaning of the Trust Indenture Act, any duties with respect to the debt securities, the trustee is required to either resign or eliminate such conflicting interest to the extent and in the manner provided by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Limitations on Issuance of Bearer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 in bearer form are subject to special U.S. tax requirements and may not be offered, sold, or delivered within the United States or its possessions or to a U.S. person, except in certain transactions permitted by U.S. tax regulations. Investors should consult the relevant prospectus supplement, in the event that bearer debt securities are issued for special procedures and restrictions that will apply to such an offering.</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DESCRIPTION OF CAPITAL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are authorized to issue up to 310,000,000 shares of capital stock, par value $.001 per share, divided into two classes designated, respectively, “common stock” and “preferred stock.” Of such shares authorized, 300,000,000 shares are designated as common stock, and 10,000,000 shares are designated as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material terms of our capital stock and certain provisions of our amended and restated certificate of incorporation, as amended (our “amended and restated certificate of incorporation”) and amended and restated bylaws. It also summarizes some relevant provisions of the Delaware General Corporation Law, which we sometimes refer to as Delaware law. Since the terms of our amended and restated certificate of incorporation and amended and restated bylaws, and Delaware law, are more detailed than the general information provided below, you should only rely on the actual provisions of those documents and Delaware law. If you would like to read our amended and restated certificate of incorporation or amended and restated bylaws, they are on file with the SEC, as described under the heading “Where You Can Find Additional Information”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February 28, 2026, there were 97,248,936 shares of common stock outstanding that were held of record by approximately 387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Voting Rights</w:t>
      </w:r>
      <w:r>
        <w:rPr>
          <w:rFonts w:ascii="Times New Roman;Times;Serif" w:hAnsi="Times New Roman;Times;Serif"/>
          <w:b w:val="false"/>
          <w:i w:val="false"/>
          <w:caps w:val="false"/>
          <w:smallCaps w:val="false"/>
          <w:sz w:val="20"/>
        </w:rPr>
        <w:t>. Holders of our common stock are entitled to one vote per share on all matters to be voted upon by shareholders. In addition, holders of our Series A Convertible Preferred Stock (as described below) are entitled to vote such shares on an as-converted basis with the common stock, subject to specified beneficial ownership issuance limitations. In accordance with Delaware law, the affirmative vote of a majority of the shares cast at a duly held meeting at which a quorum is present shall be the act of the shareholders. The presence at the meeting, by person or by proxy, of the holders of record of a majority of shares issued and outstanding and entitled to vote will constitute a quorum for transacting business. Our stockholders do not have cumulative voting rights in the election of directors. Accordingly, holders of a majority of the shares eligible to vote, which as of the date of this prospectus are holders of our common stock and our Series A Convertible Preferred Stock, are able to elect all of the directors, subject to any rights to elect directors that may be granted to any then-outstanding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Liquidation Rights</w:t>
      </w:r>
      <w:r>
        <w:rPr>
          <w:rFonts w:ascii="Times New Roman;Times;Serif" w:hAnsi="Times New Roman;Times;Serif"/>
          <w:b w:val="false"/>
          <w:i w:val="false"/>
          <w:caps w:val="false"/>
          <w:smallCaps w:val="false"/>
          <w:sz w:val="20"/>
        </w:rPr>
        <w:t>. If we are liquidated, our creditors and any holders of our preferred stock with preferential liquidation rights will be paid before any distribution to holders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our Series A Convertible Preferred Stock rank senior to shares of our common stock as to distributions and payments upon the liquidation, dissolution and winding up of the Company. No such distributions or payments upon the liquidation, dissolution or winding up of the Company may be made to holders of common stock unless and until the holders of the Series A Convertible Preferred Stock have received the stated value of $1,000 per share plus any accrued and unpaid dividends. As noted below, our Series A Convertible Preferred Stock bears dividends at a rate of six percent (6.0%) per annum, which are cumulative and accrue daily from their date of issuance, September 29, 2016, on the $1,000 stated value. However, such dividends will not be paid in cash, except in connection with any liquidation, dissolution or winding up of the Company or any redemption of the Series A Convertible Preferred Stock. Instead, the value of the accrued dividends is added to the liquidation preference of the Series A Convertible Preferred Stock and will increase the number of shares of common stock issuable upon conversion, which will dilute the ownership of our common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prior and superior rights of the holders of the Series A Convertible Preferred Stock and any other securities of the Company that rank senior to our common stock, upon liquidation, dissolution or winding up of the Company, shares of common stock will be entitled to receive distributions of any of the assets or surplus funds of the Company on a pari passu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liquidation rights, preferences and privileges of holders of common stock are subject to, and may be adversely affected by, the rights of the holders of shares of any series of preferred stock which we may designate and issue in the future.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Dividend Rights</w:t>
      </w:r>
      <w:r>
        <w:rPr>
          <w:rFonts w:ascii="Times New Roman;Times;Serif" w:hAnsi="Times New Roman;Times;Serif"/>
          <w:b w:val="false"/>
          <w:i w:val="false"/>
          <w:caps w:val="false"/>
          <w:smallCaps w:val="false"/>
          <w:sz w:val="20"/>
        </w:rPr>
        <w:t>. The holders of our common stock are entitled to receive dividends when and as declared by our board of directors out of funds legally available for dividends, subject to the prior rights or preferences applicable to any preferred stock as may then be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all shares of our Series A Convertible Preferred Stock have been converted or redeemed, no dividends may be paid on the common stock without the express written consent of the holders of a majority of the outstanding shares of Series A Convertible Preferred Stock. In the event that dividends or other distributions of assets are made or paid by the Company to the holders of the common stock, the holders of shares of the Series A Convertible Preferred Stock are entitled to participate in such dividend or distribution on an as-converted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declared or paid any cash dividends on its common stock and the Company does not presently intend to pay any cash dividends in the foreseeable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Other Rights and Preferences</w:t>
      </w:r>
      <w:r>
        <w:rPr>
          <w:rFonts w:ascii="Times New Roman;Times;Serif" w:hAnsi="Times New Roman;Times;Serif"/>
          <w:b w:val="false"/>
          <w:i w:val="false"/>
          <w:caps w:val="false"/>
          <w:smallCaps w:val="false"/>
          <w:sz w:val="20"/>
        </w:rPr>
        <w:t>. Shares of our common stock have no preemptive rights, no conversion rights, no redemption or sinking fund provisions, and are not liable for further call or assessment.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is authorized to issue up to 10,000,000 shares of preferred stock in one or more series, to fix the number of shares in each series, and to determine the designations and preferences, limitations and relative rights of each series, including dividend rates, terms of redemption, liquidation preferences, sinking fund requirements, conversion rights, voting rights, and whether the preferred stock can be issued as a share dividend with respect to another class or series of shares, all without any vote or other action on the part of stockholders. This power is limited by applicable laws or regulations and may be delegated to a committee of our board of directors. The preferred stock is not secured, is not guaranteed by us or any of our affiliates and is not subject to any other arrangement that legally or economically enhances the ranking of the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prospectus supplement relating to any shares of preferred stock being offered will include specific terms relating to the offering, including a description of any other securities sold together with the preferred stock. These items may include: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distinctive designation of each series and the number of shares that will constitute the series;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voting rights, if any, of shares of the series and the terms and conditions of the voting rights;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dividend rate on the shares of the series (if any), the dates on which dividends are payable, any restriction, limitation or condition upon the payment of dividends, whether dividends will be cumulative, and the dates from and after which dividends shall accumulate;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prices at which, and the terms and conditions on which, the shares of the series may be redeemed, if the shares are redeemable;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terms and conditions of a sinking or purchase fund for the purchase or redemption of shares of the series, if such a fund is provided;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preferential amount, if any, payable upon the shares of the series in the event of the liquidation, dissolution or winding up of, or upon the distribution of any of our assets;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prices or rates of conversion or exchange at which, and the terms and conditions on which, the shares of the series may be converted or exchanged into other securities, if the shares are convertible or exchangeable;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any terms relating to the amendment of the certificate of designation related thereto;</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information with respect to book-entry procedures, if 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where the shares of such series will be listed for trading on any national securities exchange.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 discussion of any material federal income tax considerations;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any other material terms of the shares, including terms, procedures, and limitations relating to the transferability (including use of a transfer agent) and exchange thereof.</w:t>
            </w:r>
          </w:p>
        </w:tc>
      </w:tr>
    </w:tbl>
    <w:p>
      <w:pPr>
        <w:pStyle w:val="TextBody"/>
        <w:bidi w:val="0"/>
        <w:spacing w:before="0" w:after="0"/>
        <w:ind w:left="144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below, as of the date of this prospectus, we had authorized the issuance of up to 24,000 shares in the aggregate of Series A Convertible Preferred Stock, leaving an aggregate of 9,976,000 shares of preferred stock authorized but undesignated. As of the date of this prospectus, all 5,610,121 shares previously designated as shares of our Series B Convertible Preferred Stock were converted to common stock, at which time they were no longer designated as Series B Convertible Preferred Stock and resumed the status of authorized but unissued shares of preferred stock.</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Series A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29, 2016, we filed a Certificate of Designations, Preferences and Rights of Series A Convertible Preferred Stock (the “Series A Certificate of Designations”) to authorize the issuance of up to 24,000 shares of the Series A Convertible Preferred Stock, of which 21,008 shares remain issued and outstanding as of February 28,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Series A Certificate of Designations, holders of Series A Convertible Preferred Stock are entitled to vote on an as-converted basis with holders of common stock, subject to specified beneficial ownership issuance limitations. The Series A Convertible Preferred Stock bears dividends at a rate of six percent (6.0%) per annum, which are cumulative and accrue daily from the date of issuance on the $1,000 stated value. Such dividends will not be paid in cash, except in connection with any liquidation, dissolution or winding up of the Company or any redemption of the Series A Convertible Preferred Stock. Instead, the value of the accrued dividends is added to the liquidation preference of the Series A Convertible Preferred Stock and will increase the number of shares of common stock issuable upon conversion.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A Convertible Preferred Stock is convertible at the option of the holder from and after the original date of issuance, at an initial conversion price of $0.65 per share, subject to adjustment in the event of stock splits, dividends, mergers, sales of all or substantially all of our assets or similar transactions, subject to specified beneficial ownership issuance limitations. If we fail to timely issue shares of Series A Convertible Preferred Stock or common stock issuable on conversion or remove legends from any such shares, in each case as and when required to do so under the Series A Certificate of Designations, we will be required to pay liquidated damages to the affected holder in an amount equal to 0.25% of the product of (i) the number of shares of common stock to be issued or issuable on conversion of the relevant shares of Series A Convertible Preferred Stock and (ii) the weighted average price of the common stock on the last date before such failure, and may be required to pay additional or alternative damages in specified circumstances at the option of the holder. Each holder of Series A Convertible Preferred Stock has the right to require us to redeem such holder’s Series A Convertible Preferred Stock upon the occurrence of specified events, including mergers, sales of substantially all assets of the Company, and certain defaults under the Series A Certificate of Designations and under the Registration Rights Agreement entered into in connection with that certain Securities Purchase Agreement, dated September 26, 2016, by and among the Company and the investors identified on the Schedule of Buyers thereto (the “2016 SPA”). We also have the right to redeem the Series A Convertible Preferred Stock in the event of a Change of Control Transaction (as defined in the Series A Certificate of Designations).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Convertible Preferred Stock ranks senior to our common stock as to distributions and payments upon the liquidation, dissolution and winding up of the Company. No such distributions or payments upon the liquidation, dissolution and winding up of the Company may be made to the holders of common stock unless and until the holders of Series A Convertible Preferred Stock have received the stated value of $1,000 per share plus any accrued and unpaid dividends. Until all shares of Series A Convertible Preferred Stock have been converted or redeemed, no dividends may be paid on the common stock without the prior express written consent of the holders of a majority of the outstanding Series A Convertible Preferred Stock. In the event that dividends or other distributions of assets are made or paid by us to the holders of the common stock, the holders of Series A Convertible Preferred Stock are entitled to participate in such dividend or distribution on an as-converted basis (without giving effect to any limitations on conversion).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Provisions of Delaware Law and Charter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Interested Stockholder Transactions.</w:t>
      </w:r>
      <w:r>
        <w:rPr>
          <w:rFonts w:ascii="Times New Roman;Times;Serif" w:hAnsi="Times New Roman;Times;Serif"/>
          <w:b w:val="false"/>
          <w:i w:val="false"/>
          <w:caps w:val="false"/>
          <w:smallCaps w:val="false"/>
          <w:sz w:val="20"/>
        </w:rPr>
        <w:t xml:space="preserve"> 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 xml:space="preserve">before such date, the board of directors of the corporation approved either the business combination or the transaction that resulted in the stockholder becoming an interested stockholder;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 xml:space="preserve">upon consummation of the transaction that resulted in the stockholder becoming an interested stockholder, the interested stockholder owned at least 85% of the voting stock of the corporation outstanding at the time the transaction began, excluding for purposes of determining the number of shares outstanding those shares owned by persons who are directors and also officers and by employee stock plans in which employee participants do not have the right to determine confidentially whether shares held subject to the plan will be tendered in a tender or exchange offer; or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 xml:space="preserve">on or after such date, the business combination is approved by the board of directors and authorized at an annual or special meeting of the stockholders, and not by written consent, by the affirmative vote of at least 66-2/3% of the outstanding voting stock that is not owned by the interested stockholder. </w:t>
            </w:r>
          </w:p>
        </w:tc>
      </w:tr>
    </w:tbl>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defines “business combination” to include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any merger or consolidation involving the corporation and the interested stockholder;</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 xml:space="preserve">any sale, transfer, pledge or other disposition involving the interested stockholder of assets with a value of 10% or more of either the total assets or all outstanding stock of the corporation;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 xml:space="preserve">subject to certain exceptions, any transaction that results in the issuance or transfer by the corporation of any stock of the corporation to the interested stockholder;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 xml:space="preserve">any transaction involving the corporation that has the effect of increasing the proportionate share of the stock or any class or series of the corporation beneficially owned by the interested stockholder; or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 xml:space="preserve">the receipt by the interested stockholder of the benefit of any loans, advances, guarantees, pledges or other financial benefits by or through the corporation.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Section 203 defines “interested stockholder” as an entity or person beneficially owning 15% or more of the outstanding voting stock of the corporation or any entity or person affiliated with or controlling or controlled by such entity or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some provisions of our amended and restated certificate of incorporation and amended and restated bylaws may be deemed to have an anti-takeover effect and may delay or prevent a tender offer or takeover attempt that a stockholder might consider in its best interest, including those attempts that might result in a premium over the market price for the shares held by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Cumulative Voting.</w:t>
      </w:r>
      <w:r>
        <w:rPr>
          <w:rFonts w:ascii="Times New Roman;Times;Serif" w:hAnsi="Times New Roman;Times;Serif"/>
          <w:b w:val="false"/>
          <w:i w:val="false"/>
          <w:caps w:val="false"/>
          <w:smallCaps w:val="false"/>
          <w:sz w:val="20"/>
        </w:rPr>
        <w:t xml:space="preserve"> Our amended and restated certificate of incorporation expressly denies stockholders the right to cumulative voting in the election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Classified Board of Directors.</w:t>
      </w:r>
      <w:r>
        <w:rPr>
          <w:rFonts w:ascii="Times New Roman;Times;Serif" w:hAnsi="Times New Roman;Times;Serif"/>
          <w:b w:val="false"/>
          <w:i w:val="false"/>
          <w:caps w:val="false"/>
          <w:smallCaps w:val="false"/>
          <w:sz w:val="20"/>
        </w:rPr>
        <w:t xml:space="preserve"> Our board of directors is divided into three classes of directors serving staggered three-year terms. As a result, approximately one-third of the board of directors will be elected each year, which has the effect of requiring at least two annual stockholder meetings, instead of one, to replace a majority of the members of the board. These provisions, when coupled with the provision of our amended and restated certificate of incorporation authorizing only the board of directors to fill vacant directorships or increase the size of the board of directors, may deter a stockholder from removing incumbent directors and simultaneously gaining control of the board of directors by filling the vacancies created by such removal with its own nominees. The amended and restated certificate of incorporation also provides that directors may be removed by stockholders only for cause. Since the board of directors has the power to retain and discharge our officers, these provisions could also make it more difficult for existing stockholders or another party to effect a change in management.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Stockholder Action; Special Meeting of Stockholders.</w:t>
      </w:r>
      <w:r>
        <w:rPr>
          <w:rFonts w:ascii="Times New Roman;Times;Serif" w:hAnsi="Times New Roman;Times;Serif"/>
          <w:b w:val="false"/>
          <w:i w:val="false"/>
          <w:caps w:val="false"/>
          <w:smallCaps w:val="false"/>
          <w:sz w:val="20"/>
        </w:rPr>
        <w:t xml:space="preserve"> Our amended and restated certificate of incorporation and amended and restated bylaws do not permit stockholders to act by written consent. They provide that special meetings of our stockholders may be called only by the chairman of our board of directors, our chief executive officer or a majority of our directors. Further, our amended and restated certificate of incorporation provides that the stockholders may amend bylaws adopted by the board of directors or specified provisions of the amended and restated certificate of incorporation by the affirmative vote of at least 66-2/3% of our capital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Advance Notice Requirements for Stockholder Proposals and Directors Nominations.</w:t>
      </w:r>
      <w:r>
        <w:rPr>
          <w:rFonts w:ascii="Times New Roman;Times;Serif" w:hAnsi="Times New Roman;Times;Serif"/>
          <w:b w:val="false"/>
          <w:i w:val="false"/>
          <w:caps w:val="false"/>
          <w:smallCaps w:val="false"/>
          <w:sz w:val="20"/>
        </w:rPr>
        <w:t xml:space="preserve"> Our amended and restated bylaws provide that stockholders seeking to bring business before an annual meeting of stockholders, or to nominate candidates for election as directors at an annual meeting of stockholders, must provide timely notice in writing. To be timely, a stockholder’s notice must be delivered to or mailed and received at our principal executive offices not more than 120 days or less than 90 days prior to the anniversary date of the immediately preceding annual meeting of stockholders. However, in the event that the annual meeting is called for a date that is not within 30 days before or after such anniversary date, notice by the stockholder in order to be timely must be received not later than the close of business on the 10th day following the date on which notice of the date of the annual meeting was mailed to stockholders or made public, whichever first occurs. Our amended and restated bylaws also specify requirements as to the form and content of a stockholder’s notice. These provisions may preclude stockholders from bringing matters before an annual meeting of stockholders or from nominating directors at an annual meeting of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Authorized But Unissued Shares.</w:t>
      </w:r>
      <w:r>
        <w:rPr>
          <w:rFonts w:ascii="Times New Roman;Times;Serif" w:hAnsi="Times New Roman;Times;Serif"/>
          <w:b w:val="false"/>
          <w:i w:val="false"/>
          <w:caps w:val="false"/>
          <w:smallCaps w:val="false"/>
          <w:sz w:val="20"/>
        </w:rPr>
        <w:t xml:space="preserve"> Our authorized but unissued shares of common stock and preferred stock are available for future issuance without stockholder approval. These additional shares may be utilized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Stereotaxis by means of a proxy contest, tender offer, merger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Amendments; Supermajority Vote Requirements.</w:t>
      </w:r>
      <w:r>
        <w:rPr>
          <w:rFonts w:ascii="Times New Roman;Times;Serif" w:hAnsi="Times New Roman;Times;Serif"/>
          <w:b w:val="false"/>
          <w:i w:val="false"/>
          <w:caps w:val="false"/>
          <w:smallCaps w:val="false"/>
          <w:sz w:val="20"/>
        </w:rPr>
        <w:t xml:space="preserve"> The Delaware General Corporation Law provides generally that the affirmative vote of a majority of the shares entitled to vote on any matter is required to amend a corporation’s certificate of incorporation or bylaws, unless either a corporation’s certificate of incorporation or bylaws require a greater percentage. Our amended and restated certificate of incorporation imposes supermajority vote requirements of 66-2/3% of the voting power of our capital stock in connection with the amendment of certain provisions of our amended and restated certificate of incorporation and amended and restated bylaws, including those provisions relating to the classified board of directors, action by written consent and the ability of stockholders to call special meetings.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NYSE American under the symbol “STXS”. Our Series A Convertible Preferred Stock is not listed or traded on any national securities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transfer agent and registrar for our common stock is Broadridge Corporate Issuer Solutions, Inc. Its address is Broadridge Corporate Issuer Solutions, PO Box 1342, Brentwood, NY 11717-0718, and its telephone number is (855) 300-4994.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DESCRIPTION OF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including warrants to purchase preferred stock, common stock or other securities or any combination of the foregoing. Warrants may be issued independently or as part of a unit with any other securities and may be attached to or separate from the underlying securities. The warrants will be issued under warrant agreements to be entered into between us and a bank or trust company, as warrant agent, as detailed in the prospectus supplement relating to warrants being offered.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prospectus supplement relating to any warrants being offered will include specific terms relating to the offering, including a description of any other securities sold together with the warrants. These items will include: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title of the warrants;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aggregate number of the warrants;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price or prices at which the warrants will be issued;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currencies in which the price or prices of the warrants may be payable;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designation, amount, and terms of the common stock, preferred stock or other securities or rights, including rights to receive payment in cash or securities based on the value, rate or price of one or more specified commodities, currencies or indices, purchasable upon exercise of the warrants and procedures by which those numbers may be adjusted;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designation and terms of the other offered securities, if any, with which the warrants are issued and the number of the warrants issued with each security;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if applicable, the date on and after which the warrants and the offered securities purchasable upon exercise of the warrants will be separately transferable;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price or prices at which the offered securities purchasable upon exercise of the warrants may be purchased;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date on which the right to exercise the warrants shall commence and the date on which the right shall expire;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minimum or maximum amount of the warrants that may be exercised at any one time;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any terms relating to the modification of the warrants;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information with respect to book-entry procedures, if 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 discussion of any material federal income tax considerations;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any other material terms of the warrants, including terms, procedures, and limitations relating to the transferability, exchange, exercise or redemption of the warrants.</w:t>
            </w:r>
          </w:p>
        </w:tc>
      </w:tr>
    </w:tbl>
    <w:p>
      <w:pPr>
        <w:pStyle w:val="TextBody"/>
        <w:bidi w:val="0"/>
        <w:spacing w:before="0" w:after="0"/>
        <w:ind w:left="144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describe the specific terms of any warrant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descriptions of the warrant agreements in this prospectus and in any prospectus supplement are summaries of the applicable provisions of the applicable agreements. These descriptions do not restate those agreements in their entirety and do not contain all of the information that you may find useful. We urge you to read the applicable agreements because they, and not the summaries, define your rights as holders of the warrants or any warrant units. For more information, please review the form of the relevant agreements, which will be filed with the SEC promptly after the offering of the warrants or warrant units and will be available as described in the heading “Where You Can Find Additional Information” below.</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DESCRIPTION OF RIGHTS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rights to purchase common stock, preferred stock, depositary shares, purchase contracts, or warrants. These rights may be issued independently or together with any other security and may or may not be transferable by the person receiving the rights in such offering. In connection with any offering of such rights, we may enter into a standby arrangement with one or more underwriters or other purchasers pursuant to which the underwriters or other purchasers may be required to purchase any securities remaining unsubscribed for after such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series of rights will be issued under a separate rights agreement which we will enter into with a bank or trust company, as rights agent, all as set forth in the applicable prospectus supplement. The rights agent will act solely as our agent in connection with the certificates relating to the rights and will not assume any obligation or relationship of agency or trust with any holders of rights certificates or beneficial owners of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describe the specific terms of any offering of rights for which this prospectus is being delivered, including the following: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date of determining the shareholders entitled to the rights distribution;</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number of rights issued or to be issued to each shareholder;</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exercise price payable for each share of common stock, preferred stock, depositary shares, purchase contracts, or warrants upon the exercise of the rights;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number and terms of the shares of common stock, preferred stock, depositary shares, purchase contracts, or warrants which may be purchased per each right;</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extent to which the rights are transferable;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date on which the holder’s ability to exercise the rights shall commence, and the date on which the rights shall expire;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extent to which the rights may include an over-subscription privilege with respect to unsubscribed securities;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if applicable, the material terms of any standby underwriting or purchase arrangement entered into by us in connection with the offering of such rights;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any other terms of the rights, including the terms, procedures, conditions, and limitations relating to the exchange and exercise of the rights.</w:t>
            </w:r>
          </w:p>
        </w:tc>
      </w:tr>
    </w:tbl>
    <w:p>
      <w:pPr>
        <w:pStyle w:val="TextBody"/>
        <w:bidi w:val="0"/>
        <w:spacing w:before="0" w:after="0"/>
        <w:ind w:left="144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descriptions of the rights and any applicable underlying security in this prospectus and in any prospectus supplement are summaries of the material provisions of the applicable agreements. These descriptions do not restate those agreements in their entirety and may not contain all the information that you may find useful. We urge you to read the applicable agreements because they, and not the summaries, define many of your rights as holders of the units. For more information, please review the form of the relevant agreements, which will be filed with the SEC promptly after the offering of units and will be available as described under the heading “Where You Can Find More Information.”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DESCRIPTION OF 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comprised of one or more of the other securities described in this prospectus in any combination. Each unit will be issued so that the holder of the unit is also the holder of each security included in the unit. Thus, the holder of a unit will have the rights and obligations of a holder of each included security. The units may be issued under units agreements to be entered into between us and a bank or trust company, as unit agent, as detailed in the prospectus supplement relating to units being offered. The prospectus supplement will describe: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designation and terms of the units and of the securities comprising the units, including whether and under what circumstances the securities comprising the units may be held or transferred separately;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 description of the terms of any unit agreement governing the units;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 description of the provisions for the payment, settlement, transfer or exchange of the units;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 discussion of material federal income tax considerations, if applicable;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whether the units will be issued in fully registered or global form.</w:t>
            </w:r>
          </w:p>
        </w:tc>
      </w:tr>
    </w:tbl>
    <w:p>
      <w:pPr>
        <w:pStyle w:val="TextBody"/>
        <w:bidi w:val="0"/>
        <w:spacing w:before="0" w:after="0"/>
        <w:ind w:left="144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descriptions of the units in this prospectus and in any prospectus supplement are summaries of the material provisions that may be included in the applicable unit agreements. These descriptions do not restate the terms of any such agreements in their entirety and may not contain all the information that you may find useful. We urge you to read the applicable agreements because they, and not the summaries, will define your rights as holders of the units. For more information, please review the form of the relevant agreements, which will be filed with the SEC promptly after the offering of any units and will be available as described under the heading “Where You Can Find Additional Information” below.</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any of the securities being offered pursuant to this prospectus in any manner specified in a prospectus supplement or in any of the following manners:</w:t>
      </w:r>
    </w:p>
    <w:p>
      <w:pPr>
        <w:pStyle w:val="TextBody"/>
        <w:bidi w:val="0"/>
        <w:spacing w:before="0" w:after="0"/>
        <w:ind w:left="0" w:right="0" w:firstLine="720"/>
        <w:jc w:val="both"/>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75"/>
        <w:gridCol w:w="170"/>
        <w:gridCol w:w="288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2885" w:type="dxa"/>
            <w:tcBorders/>
            <w:vAlign w:val="center"/>
          </w:tcPr>
          <w:p>
            <w:pPr>
              <w:pStyle w:val="TableContents"/>
              <w:bidi w:val="0"/>
              <w:spacing w:before="0" w:after="283"/>
              <w:jc w:val="both"/>
              <w:rPr>
                <w:sz w:val="20"/>
              </w:rPr>
            </w:pPr>
            <w:r>
              <w:rPr>
                <w:sz w:val="20"/>
              </w:rPr>
              <w:t>directly to purchasers;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2885" w:type="dxa"/>
            <w:tcBorders/>
            <w:vAlign w:val="center"/>
          </w:tcPr>
          <w:p>
            <w:pPr>
              <w:pStyle w:val="TableContents"/>
              <w:bidi w:val="0"/>
              <w:spacing w:before="0" w:after="283"/>
              <w:jc w:val="both"/>
              <w:rPr>
                <w:sz w:val="20"/>
              </w:rPr>
            </w:pPr>
            <w:r>
              <w:rPr>
                <w:sz w:val="20"/>
              </w:rPr>
              <w:t>to or through underwriters;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2885" w:type="dxa"/>
            <w:tcBorders/>
            <w:vAlign w:val="center"/>
          </w:tcPr>
          <w:p>
            <w:pPr>
              <w:pStyle w:val="TableContents"/>
              <w:bidi w:val="0"/>
              <w:spacing w:before="0" w:after="283"/>
              <w:jc w:val="both"/>
              <w:rPr>
                <w:sz w:val="20"/>
              </w:rPr>
            </w:pPr>
            <w:r>
              <w:rPr>
                <w:sz w:val="20"/>
              </w:rPr>
              <w:t>through dealers or agents; or</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2885" w:type="dxa"/>
            <w:tcBorders/>
            <w:vAlign w:val="center"/>
          </w:tcPr>
          <w:p>
            <w:pPr>
              <w:pStyle w:val="TableContents"/>
              <w:bidi w:val="0"/>
              <w:spacing w:before="0" w:after="283"/>
              <w:jc w:val="both"/>
              <w:rPr>
                <w:sz w:val="20"/>
              </w:rPr>
            </w:pPr>
            <w:r>
              <w:rPr>
                <w:sz w:val="20"/>
              </w:rPr>
              <w:t>through a combination of methods.</w:t>
            </w:r>
          </w:p>
        </w:tc>
      </w:tr>
    </w:tbl>
    <w:p>
      <w:pPr>
        <w:pStyle w:val="TextBody"/>
        <w:bidi w:val="0"/>
        <w:spacing w:before="0" w:after="0"/>
        <w:ind w:left="144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distribute the securities from time to time in one or more transactions at a fixed price or prices, which may be changed, at market prices prevailing at the time of sale, at prices related to the prevailing market prices or at negotiated prices. We may also determine the price or other terms of the securities offered under this prospectus by use of an electronic auction. The securities may be sold through an at-the-market offering, a rights offering, forward contracts or similar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with respect to the securities being offered will set forth the terms of the offering, including the names of the underwriters, dealers or agents, if any, the purchase price of the securities, the net proceeds to us, any underwriting discounts and other items constituting underwriters’ compensation, any discounts or concessions allowed or reallowed or paid to dealers and any securities exchanges on which the securities may be listed. Also, if applicable, we will describe in the prospectus supplement how any auction will determine the price or any other terms, how potential investors may participate in the auction and the nature of the underwriters’ obligations with respect to the auction.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underwriters are used in an offering, we will execute an underwriting agreement with the underwriters and will specify the name of each underwriter and the terms of the transaction (including any underwriting discounts and other terms constituting compensation of the underwriters and any dealers) in a prospectus supplement. If an underwriting syndicate is used, the managing underwriter(s) will be specified on the cover of the prospectus supplement. If underwriters are used in the sale, the offered securities will be acquired by the underwriters for their own accounts and may be resold from time to time in one or more transactions, including negotiated transactions, at a fixed public offering price or at varying prices determined at the time of sale. Any public offering price and any discounts or concessions allowed or reallowed or paid to dealers may be changed from time to time. Unless otherwise set forth in the prospectus supplement, the obligations of the underwriters to purchase the offered securities will be subject to conditions precedent, and the underwriters will be obligated to purchase all of the offered securities if any are purchased.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dealers are used in an offering, we will sell the securities to the dealers as principals. The dealers then may resell the securities to the public at varying prices which they determine at the time of resale. The names of the dealers and the terms of the transaction will be specified in a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may be sold directly by us or through agents we designate. If agents are used in an offering, the names of the agents and the terms of the agency will be specified in a prospectus supplement. Unless otherwise indicated in a prospectus supplement, the agents will act on a best-efforts basis for the period of their appointment.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engage in at-the-market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securities, and may use securities received from us in settlement of those derivatives to close out any related open borrowings of securities.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make direct sales through subscription rights distributed to our existing stockholders on a pro rata basis, which may or may not be transferable. In any distribution of subscription rights to our stockholders, if all of the underlying securities are not subscribed for, we may then sell the unsubscribed securities directly to third parties or may engage the services of one or more underwriters, dealers or agents, including standby underwriters, to sell the unsubscribed securities to third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Dealers and agents named in a prospectus supplement may be deemed to be underwriters (within the meaning of the Securities Act of 1933) of the securities described therein. In addition, we may sell the securities directly to institutional investors or others who may be deemed to be underwriters within the meaning of the Securities Act of 1933 with respect to any resales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dealers and agents may be entitled to indemnification by us against specific civil liabilities, including liabilities under the Securities Act of 1933 or to contribution with respect to payments which the underwriters or agents may be required to make in respect thereof, under underwriting or other agreements. The terms of any indemnification provisions will be set forth in a prospectus supplement. Certain underwriters, dealers or agents and their associates may engage in transactions with, and perform services for, us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series of securities is expected to be a new issue of securities with no established trading market, other than the common stock which is listed on the NYSE American. Any common stock sold pursuant to a prospectus supplement will be eligible for listing and trading on the NYSE American, subject to official notice of issuance. Any underwriters to whom securities are sold by us for public offering and sale may make a market in the securities, but the underwriters will not be obligated to do so and may discontinue any market making at any time without notice. The securities, other than the common stock, may or may not be listed on a national securities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securities offered hereby will be passed upon for us by Bryan Cave Leighton Paisner LLP, St. Louis, Missouri. Additional legal matters may be passed upon for us or any underwriters, dealers or agents, by counsel that we will name in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Ernst &amp; Young LLP, independent registered public accounting firm, has audited our consolidated financial statements and schedule included in our Annual Report on Form 10-K for the year ended December 31, 2025 as set forth in their report, which is incorporated by reference into this prospectus, and elsewhere in the registration statement of which such prospectus form a part. Our financial statements and schedule are incorporated by reference in reliance on Ernst &amp; Young LLP’s report, given on their authority as experts in accounting and auditing.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WHERE YOU CAN FIND ADDITIONAL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quarterly and current reports, proxy statements and other information with the SEC. Our SEC filings are available to the public over the Internet at the SEC’s website at http://www.sec.gov. The SEC’s website contains reports, proxy and information statements and other information regarding issuers, such as us, that file electronically with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under the Securities Act of 1933 that registers the distribution of these securities. The registration statement, including the attached exhibits and schedules, contains additional relevant information about us and the securities. This prospectus does not contain all of the information set forth in the registration statement. You can get a copy of the registration statement, at prescribed rates, from the SEC at the address listed above. The registration statement and the documents referred to below under “Incorporation of Certain Documents by Reference” are also available on our Internet website, http://www.stereotaxis.com, under “Investors—All SEC Filings”. We have not incorporated by reference into this prospectus the information on our website, and you should not consider it to be a part of this prospectus.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INCORPORATION OF CERTAIN DOCUMENTS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information into this prospectus, which means we can disclose important information to you by referring you to other documents that we filed separately with the SEC. You should consider the incorporated information as if we reproduced it in this prospectus, except for any information directly superseded by information subsequently filed with the SEC and incorporated in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into this prospectus the following documents (SEC File No. 001-36159), which contain important information about us and our business and financial results: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sz w:val="20"/>
              </w:rPr>
              <w:t xml:space="preserve">our Annual Report on </w:t>
            </w:r>
            <w:hyperlink r:id="rId3">
              <w:r>
                <w:rPr>
                  <w:rStyle w:val="InternetLink"/>
                  <w:sz w:val="20"/>
                </w:rPr>
                <w:t>Form 10-K</w:t>
              </w:r>
            </w:hyperlink>
            <w:r>
              <w:rPr>
                <w:sz w:val="20"/>
              </w:rPr>
              <w:t xml:space="preserve"> for the fiscal year ended December 31, 2025, filed with the SEC on March 12, 2026;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sz w:val="20"/>
              </w:rPr>
              <w:t xml:space="preserve">the description of our common stock filed as </w:t>
            </w:r>
            <w:hyperlink r:id="rId4">
              <w:r>
                <w:rPr>
                  <w:rStyle w:val="InternetLink"/>
                  <w:sz w:val="20"/>
                </w:rPr>
                <w:t>Exhibit 4.2</w:t>
              </w:r>
            </w:hyperlink>
            <w:r>
              <w:rPr>
                <w:sz w:val="20"/>
              </w:rPr>
              <w:t xml:space="preserve"> to our Annual Report on Form 10-K for the fiscal year ended December 31, 2024, filed with the SEC on March 14, 2025 </w:t>
            </w:r>
            <w:r>
              <w:rPr>
                <w:sz w:val="20"/>
                <w:shd w:fill="FFFFFF" w:val="clear"/>
              </w:rPr>
              <w:t>and any amendment or report filed with the SEC for the purpose of updating the description</w:t>
            </w:r>
            <w:r>
              <w:rPr>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incorporate by reference any additional filings made by us with the SEC under Section 13(a), 13(c), 14 or 15(d) of the Securities Exchange Act of 1934 (other than the portions of those made pursuant to Item 2.02 or Item 7.01 of Form 8-K or other information “furnished” to the SEC) </w:t>
      </w:r>
      <w:r>
        <w:rPr>
          <w:rFonts w:ascii="Times New Roman;Times;Serif" w:hAnsi="Times New Roman;Times;Serif"/>
          <w:b w:val="false"/>
          <w:i w:val="false"/>
          <w:caps w:val="false"/>
          <w:smallCaps w:val="false"/>
          <w:sz w:val="20"/>
          <w:shd w:fill="FFFFFF" w:val="clear"/>
        </w:rPr>
        <w:t>after the filing of the initial registration statement (including all such documents that we may file with the SEC after the date the registration statement was initially filed and prior to the effectiveness of the registration statement) and before the filing of a post-effective amendment to the registration statement of which this prospectus is a part that indicates that all securities offered hereunder have been sold or that deregisters all securities then remaining unsold (other than information furnished and not filed with the SEC)</w:t>
      </w:r>
      <w:r>
        <w:rPr>
          <w:rFonts w:ascii="Times New Roman;Times;Serif" w:hAnsi="Times New Roman;Times;Serif"/>
          <w:b w:val="false"/>
          <w:i w:val="false"/>
          <w:caps w:val="false"/>
          <w:smallCaps w:val="false"/>
          <w:sz w:val="20"/>
        </w:rPr>
        <w:t>. These documents may include periodic reports, like Annual Reports on Form 10-K, Quarterly Reports on Form 10-Q and Current Reports on Form 8-K, as well as Proxy Statements. Any material that we subsequently file with the SEC will automatically update and replace the information previously filed with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registration statement of which this prospectus is a part, any statement contained in a document incorporated or deemed to be incorporated herein by reference shall be deemed to be modified or superseded to the extent that a statement contained herein or in any other subsequently filed document which also is or is deemed to be incorporated herein by reference modifies or supersedes such statement in such document. Any statement so modified or superseded shall not be deemed, except as so modified or superseded, to constitute a part of the registration statement of which this prospectus is a 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get copies of any of the document incorporated by reference (excluding exhibits, unless the exhibits are specifically incorporated) at no charge to you by writing or calling the investor relations department at Stereotaxis, Inc., 710 North Tucker Boulevard, Suite 110, St. Louis, Missouri 63101, telephone (314) 678-6100.</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color w:val="FF4040"/>
          <w:sz w:val="20"/>
        </w:rPr>
      </w:pPr>
      <w:r>
        <w:rPr>
          <w:rFonts w:ascii="Times New Roman;Times;Serif" w:hAnsi="Times New Roman;Times;Serif"/>
          <w:b/>
          <w:i w:val="false"/>
          <w:caps w:val="false"/>
          <w:smallCaps w:val="false"/>
          <w:color w:val="FF4040"/>
          <w:sz w:val="20"/>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jurisdiction where the offer or sale is not permitted.</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color w:val="FF4040"/>
          <w:sz w:val="20"/>
        </w:rPr>
      </w:pPr>
      <w:r>
        <w:rPr>
          <w:rFonts w:ascii="Times New Roman;Times;Serif" w:hAnsi="Times New Roman;Times;Serif"/>
          <w:b/>
          <w:i w:val="false"/>
          <w:caps w:val="false"/>
          <w:smallCaps w:val="false"/>
          <w:color w:val="FF4040"/>
          <w:sz w:val="20"/>
        </w:rPr>
        <w:t>Subject to Completion— dated March 13,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PROSPECTUS</w:t>
      </w:r>
    </w:p>
    <w:p>
      <w:pPr>
        <w:pStyle w:val="TextBody"/>
        <w:bidi w:val="0"/>
        <w:jc w:val="both"/>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2143125" cy="7048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5"/>
                    <a:stretch>
                      <a:fillRect/>
                    </a:stretch>
                  </pic:blipFill>
                  <pic:spPr bwMode="auto">
                    <a:xfrm>
                      <a:off x="0" y="0"/>
                      <a:ext cx="2143125" cy="704850"/>
                    </a:xfrm>
                    <a:prstGeom prst="rect">
                      <a:avLst/>
                    </a:prstGeom>
                  </pic:spPr>
                </pic:pic>
              </a:graphicData>
            </a:graphic>
          </wp:inline>
        </w:drawing>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Up to $50,000,000</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Common Stock</w:t>
      </w:r>
    </w:p>
    <w:p>
      <w:pPr>
        <w:pStyle w:val="TextBody"/>
        <w:bidi w:val="0"/>
        <w:jc w:val="center"/>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 sales agreement with Roth Capital Partners, LLC as sales agent (“Roth”), dated August 29, 2025 (“Original Sales Agreement”), as amended by the certain Amendment No. 1 to Sales Agreement dated March 13, 2026 (as amended, the “Sales Agreement”) relating to the sale of shares of our common stock, par value $0.001 per share, offered by this prospectus. In accordance with the terms of the Sales Agreement, under this prospectus, we may offer and sell shares of our common stock having an aggregate offering price of up to $50 million from time to time through or to Roth, acting as our sales agent or principal.</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29, 2025, we filed a sales agreement prospectus supplement (the “Original Sales Agreement Prospectus”) covering the offering, issuance and sale of up to a maximum aggregate offering price of $50,000,000 of our common stock pursuant to the Original Sales Agreement. As of the date of this prospectus, $42,139,304 of our common stock remained available for sale under the Original Sales Agreement Prospectus. Upon effectiveness of the registration statement of which this prospectus forms a part, the remaining $42,139,304 of our common stock available for sale under the Original Sales Agreement Prospectus is included in the amount offered for sale under this prospectus, and no further sales will be made pursuant to the Original Sales Agreement Prospectus.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common stock, if any, under this prospectus will be made by means of transactions that are deemed to be “at the market offerings” as defined in Rule 415(a)(4) promulgated under the Securities Act of 1933, as amended (the “Securities Act”), including sales made directly on or through the NYSE American, the existing trading market for our common stock, sales made to or through a market maker other than on an exchange or otherwise, directly to Roth as principal, in negotiated transactions at market prices prevailing at the time of sale or at prices related to such prevailing market prices, and/or in any other method permitted by law. Under the terms of the Sales Agreement, we also may sell common stock to Roth as principal for its own accounts. If we sell shares to Roth as principal, we will enter into a separate terms agreement with Roth setting forth the terms of such transaction.</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 is not required to sell any specific number or dollar amount of securities but will act as a sales agent using commercially reasonable efforts consistent with its normal trading and sales practices, on mutually agreed terms between us and Roth. There is no arrangement for funds to be received in any escrow, trust or similar arrangement.</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to Roth for sales of common stock sold pursuant to the Sales Agreement will be equal to up to 3.0% of the gross proceeds of any shares of common stock sold under the Sales Agreement, in addition to the reimbursement of certain expenses. In connection with the sale of our common stock on our behalf, Roth will be deemed to be an “underwriter” within the meaning of the Securities Act and the compensation paid to Roth will be deemed to be underwriting commissions or discounts. We have also agreed to provide indemnification and contribution to Roth with respect to certain liabilities, including liabilities under the Securities Act or the Securities Exchange Act of 1934, as amended (the “Exchange Act”). See “Plan of Distribution” on page S-10.</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NYSE American under the symbol “STXS.” The last reported sale price of our common stock on March 12, 2026 was $1.88 per share.</w:t>
      </w:r>
    </w:p>
    <w:p>
      <w:pPr>
        <w:pStyle w:val="TextBody"/>
        <w:bidi w:val="0"/>
        <w:ind w:left="0" w:right="0" w:firstLine="36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common stock involves risks and uncertainties. See “Risk Factors” beginning on S-3 of this prospectus, and in the documents incorporated by reference herein. You should read this prospectus and the documents incorporated by reference into this prospectus carefully before you make your investment decision.</w:t>
      </w:r>
    </w:p>
    <w:p>
      <w:pPr>
        <w:pStyle w:val="TextBody"/>
        <w:bidi w:val="0"/>
        <w:ind w:left="0" w:right="0" w:firstLine="36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adequacy or accuracy of this prospectus . Any representation to the contrary is a criminal offense.</w:t>
      </w:r>
    </w:p>
    <w:p>
      <w:pPr>
        <w:pStyle w:val="TextBody"/>
        <w:bidi w:val="0"/>
        <w:ind w:left="0" w:right="0" w:firstLine="36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Roth Capital Partners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 2025.</w:t>
      </w:r>
    </w:p>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jc w:val="center"/>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3230"/>
        <w:gridCol w:w="425"/>
      </w:tblGrid>
      <w:tr>
        <w:trPr/>
        <w:tc>
          <w:tcPr>
            <w:tcW w:w="3230" w:type="dxa"/>
            <w:tcBorders/>
            <w:vAlign w:val="center"/>
          </w:tcPr>
          <w:p>
            <w:pPr>
              <w:pStyle w:val="TableContents"/>
              <w:bidi w:val="0"/>
              <w:spacing w:before="0" w:after="283"/>
              <w:jc w:val="center"/>
              <w:rPr>
                <w:caps w:val="false"/>
                <w:smallCaps w:val="false"/>
              </w:rPr>
            </w:pPr>
            <w:r>
              <w:rPr>
                <w:caps w:val="false"/>
                <w:smallCaps w:val="false"/>
              </w:rPr>
              <w:t> </w:t>
            </w:r>
          </w:p>
        </w:tc>
        <w:tc>
          <w:tcPr>
            <w:tcW w:w="4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tc>
      </w:tr>
      <w:tr>
        <w:trPr/>
        <w:tc>
          <w:tcPr>
            <w:tcW w:w="3230"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Prospectus </w:t>
            </w:r>
          </w:p>
        </w:tc>
        <w:tc>
          <w:tcPr>
            <w:tcW w:w="4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3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230" w:type="dxa"/>
            <w:tcBorders/>
            <w:shd w:fill="CCEEFF" w:val="clear"/>
            <w:vAlign w:val="center"/>
          </w:tcPr>
          <w:p>
            <w:pPr>
              <w:pStyle w:val="TableContents"/>
              <w:bidi w:val="0"/>
              <w:spacing w:before="0" w:after="283"/>
              <w:jc w:val="left"/>
              <w:rPr/>
            </w:pPr>
            <w:hyperlink w:anchor="Da_001">
              <w:r>
                <w:rPr>
                  <w:rStyle w:val="InternetLink"/>
                  <w:rFonts w:ascii="Times New Roman;Times;Serif" w:hAnsi="Times New Roman;Times;Serif"/>
                  <w:b w:val="false"/>
                  <w:i w:val="false"/>
                  <w:caps w:val="false"/>
                  <w:smallCaps w:val="false"/>
                  <w:sz w:val="20"/>
                </w:rPr>
                <w:t xml:space="preserve">About this Prospectus </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S-ii</w:t>
            </w:r>
          </w:p>
        </w:tc>
      </w:tr>
      <w:tr>
        <w:trPr/>
        <w:tc>
          <w:tcPr>
            <w:tcW w:w="3230" w:type="dxa"/>
            <w:tcBorders/>
            <w:shd w:fill="FFFFFF" w:val="clear"/>
            <w:vAlign w:val="center"/>
          </w:tcPr>
          <w:p>
            <w:pPr>
              <w:pStyle w:val="TableContents"/>
              <w:bidi w:val="0"/>
              <w:spacing w:before="0" w:after="283"/>
              <w:jc w:val="left"/>
              <w:rPr/>
            </w:pPr>
            <w:hyperlink w:anchor="Da_002">
              <w:r>
                <w:rPr>
                  <w:rStyle w:val="InternetLink"/>
                  <w:rFonts w:ascii="Times New Roman;Times;Serif" w:hAnsi="Times New Roman;Times;Serif"/>
                  <w:b w:val="false"/>
                  <w:i w:val="false"/>
                  <w:caps w:val="false"/>
                  <w:smallCaps w:val="false"/>
                  <w:sz w:val="20"/>
                </w:rPr>
                <w:t>Forward-Looking Statements</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S-iii</w:t>
            </w:r>
          </w:p>
        </w:tc>
      </w:tr>
      <w:tr>
        <w:trPr/>
        <w:tc>
          <w:tcPr>
            <w:tcW w:w="3230" w:type="dxa"/>
            <w:tcBorders/>
            <w:shd w:fill="CCEEFF" w:val="clear"/>
            <w:vAlign w:val="center"/>
          </w:tcPr>
          <w:p>
            <w:pPr>
              <w:pStyle w:val="TableContents"/>
              <w:bidi w:val="0"/>
              <w:spacing w:before="0" w:after="283"/>
              <w:jc w:val="left"/>
              <w:rPr/>
            </w:pPr>
            <w:hyperlink w:anchor="Da_003">
              <w:r>
                <w:rPr>
                  <w:rStyle w:val="InternetLink"/>
                  <w:rFonts w:ascii="Times New Roman;Times;Serif" w:hAnsi="Times New Roman;Times;Serif"/>
                  <w:b w:val="false"/>
                  <w:i w:val="false"/>
                  <w:caps w:val="false"/>
                  <w:smallCaps w:val="false"/>
                  <w:sz w:val="20"/>
                </w:rPr>
                <w:t>Prospectus Summary</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r>
      <w:tr>
        <w:trPr/>
        <w:tc>
          <w:tcPr>
            <w:tcW w:w="3230" w:type="dxa"/>
            <w:tcBorders/>
            <w:shd w:fill="FFFFFF" w:val="clear"/>
            <w:vAlign w:val="center"/>
          </w:tcPr>
          <w:p>
            <w:pPr>
              <w:pStyle w:val="TableContents"/>
              <w:bidi w:val="0"/>
              <w:spacing w:before="0" w:after="283"/>
              <w:jc w:val="left"/>
              <w:rPr/>
            </w:pPr>
            <w:hyperlink w:anchor="Da_004">
              <w:r>
                <w:rPr>
                  <w:rStyle w:val="InternetLink"/>
                  <w:rFonts w:ascii="Times New Roman;Times;Serif" w:hAnsi="Times New Roman;Times;Serif"/>
                  <w:b w:val="false"/>
                  <w:i w:val="false"/>
                  <w:caps w:val="false"/>
                  <w:smallCaps w:val="false"/>
                  <w:sz w:val="20"/>
                </w:rPr>
                <w:t>The Offering</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S-2</w:t>
            </w:r>
          </w:p>
        </w:tc>
      </w:tr>
      <w:tr>
        <w:trPr/>
        <w:tc>
          <w:tcPr>
            <w:tcW w:w="3230" w:type="dxa"/>
            <w:tcBorders/>
            <w:shd w:fill="CCEEFF" w:val="clear"/>
            <w:vAlign w:val="center"/>
          </w:tcPr>
          <w:p>
            <w:pPr>
              <w:pStyle w:val="TableContents"/>
              <w:bidi w:val="0"/>
              <w:spacing w:before="0" w:after="283"/>
              <w:jc w:val="left"/>
              <w:rPr/>
            </w:pPr>
            <w:hyperlink w:anchor="Da_005">
              <w:r>
                <w:rPr>
                  <w:rStyle w:val="InternetLink"/>
                  <w:rFonts w:ascii="Times New Roman;Times;Serif" w:hAnsi="Times New Roman;Times;Serif"/>
                  <w:b w:val="false"/>
                  <w:i w:val="false"/>
                  <w:caps w:val="false"/>
                  <w:smallCaps w:val="false"/>
                  <w:sz w:val="20"/>
                </w:rPr>
                <w:t>Risk Factors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S-3</w:t>
            </w:r>
          </w:p>
        </w:tc>
      </w:tr>
      <w:tr>
        <w:trPr/>
        <w:tc>
          <w:tcPr>
            <w:tcW w:w="3230" w:type="dxa"/>
            <w:tcBorders/>
            <w:shd w:fill="FFFFFF" w:val="clear"/>
            <w:vAlign w:val="center"/>
          </w:tcPr>
          <w:p>
            <w:pPr>
              <w:pStyle w:val="TableContents"/>
              <w:bidi w:val="0"/>
              <w:spacing w:before="0" w:after="283"/>
              <w:jc w:val="left"/>
              <w:rPr/>
            </w:pPr>
            <w:hyperlink w:anchor="Da_006">
              <w:r>
                <w:rPr>
                  <w:rStyle w:val="InternetLink"/>
                  <w:rFonts w:ascii="Times New Roman;Times;Serif" w:hAnsi="Times New Roman;Times;Serif"/>
                  <w:b w:val="false"/>
                  <w:i w:val="false"/>
                  <w:caps w:val="false"/>
                  <w:smallCaps w:val="false"/>
                  <w:sz w:val="20"/>
                </w:rPr>
                <w:t>Dividend Policy</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S-4</w:t>
            </w:r>
          </w:p>
        </w:tc>
      </w:tr>
      <w:tr>
        <w:trPr/>
        <w:tc>
          <w:tcPr>
            <w:tcW w:w="3230" w:type="dxa"/>
            <w:tcBorders/>
            <w:shd w:fill="CCEEFF" w:val="clear"/>
            <w:vAlign w:val="center"/>
          </w:tcPr>
          <w:p>
            <w:pPr>
              <w:pStyle w:val="TableContents"/>
              <w:bidi w:val="0"/>
              <w:spacing w:before="0" w:after="283"/>
              <w:jc w:val="left"/>
              <w:rPr/>
            </w:pPr>
            <w:hyperlink w:anchor="Da_007">
              <w:r>
                <w:rPr>
                  <w:rStyle w:val="InternetLink"/>
                  <w:rFonts w:ascii="Times New Roman;Times;Serif" w:hAnsi="Times New Roman;Times;Serif"/>
                  <w:b w:val="false"/>
                  <w:i w:val="false"/>
                  <w:caps w:val="false"/>
                  <w:smallCaps w:val="false"/>
                  <w:sz w:val="20"/>
                </w:rPr>
                <w:t>Use of Proceeds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S-5</w:t>
            </w:r>
          </w:p>
        </w:tc>
      </w:tr>
      <w:tr>
        <w:trPr/>
        <w:tc>
          <w:tcPr>
            <w:tcW w:w="3230" w:type="dxa"/>
            <w:tcBorders/>
            <w:shd w:fill="FFFFFF" w:val="clear"/>
            <w:vAlign w:val="center"/>
          </w:tcPr>
          <w:p>
            <w:pPr>
              <w:pStyle w:val="TableContents"/>
              <w:bidi w:val="0"/>
              <w:spacing w:before="0" w:after="283"/>
              <w:jc w:val="left"/>
              <w:rPr/>
            </w:pPr>
            <w:hyperlink w:anchor="Da_008">
              <w:r>
                <w:rPr>
                  <w:rStyle w:val="InternetLink"/>
                  <w:rFonts w:ascii="Times New Roman;Times;Serif" w:hAnsi="Times New Roman;Times;Serif"/>
                  <w:b w:val="false"/>
                  <w:i w:val="false"/>
                  <w:caps w:val="false"/>
                  <w:smallCaps w:val="false"/>
                  <w:sz w:val="20"/>
                </w:rPr>
                <w:t>Dilution</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S-6</w:t>
            </w:r>
          </w:p>
        </w:tc>
      </w:tr>
      <w:tr>
        <w:trPr/>
        <w:tc>
          <w:tcPr>
            <w:tcW w:w="3230" w:type="dxa"/>
            <w:tcBorders/>
            <w:shd w:fill="CCEEFF" w:val="clear"/>
            <w:vAlign w:val="center"/>
          </w:tcPr>
          <w:p>
            <w:pPr>
              <w:pStyle w:val="TableContents"/>
              <w:bidi w:val="0"/>
              <w:spacing w:before="0" w:after="283"/>
              <w:jc w:val="left"/>
              <w:rPr/>
            </w:pPr>
            <w:hyperlink w:anchor="Da_009">
              <w:r>
                <w:rPr>
                  <w:rStyle w:val="InternetLink"/>
                  <w:rFonts w:ascii="Times New Roman;Times;Serif" w:hAnsi="Times New Roman;Times;Serif"/>
                  <w:b w:val="false"/>
                  <w:i w:val="false"/>
                  <w:caps w:val="false"/>
                  <w:smallCaps w:val="false"/>
                  <w:sz w:val="20"/>
                </w:rPr>
                <w:t>Description of Securities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S-7</w:t>
            </w:r>
          </w:p>
        </w:tc>
      </w:tr>
      <w:tr>
        <w:trPr/>
        <w:tc>
          <w:tcPr>
            <w:tcW w:w="3230" w:type="dxa"/>
            <w:tcBorders/>
            <w:shd w:fill="FFFFFF" w:val="clear"/>
            <w:vAlign w:val="center"/>
          </w:tcPr>
          <w:p>
            <w:pPr>
              <w:pStyle w:val="TableContents"/>
              <w:bidi w:val="0"/>
              <w:spacing w:before="0" w:after="283"/>
              <w:jc w:val="left"/>
              <w:rPr/>
            </w:pPr>
            <w:hyperlink w:anchor="Da_010">
              <w:r>
                <w:rPr>
                  <w:rStyle w:val="InternetLink"/>
                  <w:rFonts w:ascii="Times New Roman;Times;Serif" w:hAnsi="Times New Roman;Times;Serif"/>
                  <w:b w:val="false"/>
                  <w:i w:val="false"/>
                  <w:caps w:val="false"/>
                  <w:smallCaps w:val="false"/>
                  <w:sz w:val="20"/>
                </w:rPr>
                <w:t>Plan of Distribution</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S-10</w:t>
            </w:r>
          </w:p>
        </w:tc>
      </w:tr>
      <w:tr>
        <w:trPr/>
        <w:tc>
          <w:tcPr>
            <w:tcW w:w="3230" w:type="dxa"/>
            <w:tcBorders/>
            <w:shd w:fill="CCEEFF" w:val="clear"/>
            <w:vAlign w:val="center"/>
          </w:tcPr>
          <w:p>
            <w:pPr>
              <w:pStyle w:val="TableContents"/>
              <w:bidi w:val="0"/>
              <w:spacing w:before="0" w:after="283"/>
              <w:jc w:val="left"/>
              <w:rPr/>
            </w:pPr>
            <w:hyperlink w:anchor="Da_011">
              <w:r>
                <w:rPr>
                  <w:rStyle w:val="InternetLink"/>
                  <w:rFonts w:ascii="Times New Roman;Times;Serif" w:hAnsi="Times New Roman;Times;Serif"/>
                  <w:b w:val="false"/>
                  <w:i w:val="false"/>
                  <w:caps w:val="false"/>
                  <w:smallCaps w:val="false"/>
                  <w:sz w:val="20"/>
                </w:rPr>
                <w:t>Legal Matters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S-11</w:t>
            </w:r>
          </w:p>
        </w:tc>
      </w:tr>
      <w:tr>
        <w:trPr/>
        <w:tc>
          <w:tcPr>
            <w:tcW w:w="3230" w:type="dxa"/>
            <w:tcBorders/>
            <w:shd w:fill="FFFFFF" w:val="clear"/>
            <w:vAlign w:val="center"/>
          </w:tcPr>
          <w:p>
            <w:pPr>
              <w:pStyle w:val="TableContents"/>
              <w:bidi w:val="0"/>
              <w:spacing w:before="0" w:after="283"/>
              <w:jc w:val="left"/>
              <w:rPr/>
            </w:pPr>
            <w:hyperlink w:anchor="Da_012">
              <w:r>
                <w:rPr>
                  <w:rStyle w:val="InternetLink"/>
                  <w:rFonts w:ascii="Times New Roman;Times;Serif" w:hAnsi="Times New Roman;Times;Serif"/>
                  <w:b w:val="false"/>
                  <w:i w:val="false"/>
                  <w:caps w:val="false"/>
                  <w:smallCaps w:val="false"/>
                  <w:sz w:val="20"/>
                </w:rPr>
                <w:t>Experts</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S-11</w:t>
            </w:r>
          </w:p>
        </w:tc>
      </w:tr>
      <w:tr>
        <w:trPr/>
        <w:tc>
          <w:tcPr>
            <w:tcW w:w="3230" w:type="dxa"/>
            <w:tcBorders/>
            <w:shd w:fill="CCEEFF" w:val="clear"/>
            <w:vAlign w:val="center"/>
          </w:tcPr>
          <w:p>
            <w:pPr>
              <w:pStyle w:val="TableContents"/>
              <w:bidi w:val="0"/>
              <w:spacing w:before="0" w:after="283"/>
              <w:jc w:val="left"/>
              <w:rPr/>
            </w:pPr>
            <w:hyperlink w:anchor="Da_013">
              <w:r>
                <w:rPr>
                  <w:rStyle w:val="InternetLink"/>
                  <w:rFonts w:ascii="Times New Roman;Times;Serif" w:hAnsi="Times New Roman;Times;Serif"/>
                  <w:b w:val="false"/>
                  <w:i w:val="false"/>
                  <w:caps w:val="false"/>
                  <w:smallCaps w:val="false"/>
                  <w:sz w:val="20"/>
                </w:rPr>
                <w:t>Where You Can Find More Information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S-11</w:t>
            </w:r>
          </w:p>
        </w:tc>
      </w:tr>
      <w:tr>
        <w:trPr/>
        <w:tc>
          <w:tcPr>
            <w:tcW w:w="3230" w:type="dxa"/>
            <w:tcBorders/>
            <w:shd w:fill="FFFFFF" w:val="clear"/>
            <w:vAlign w:val="center"/>
          </w:tcPr>
          <w:p>
            <w:pPr>
              <w:pStyle w:val="TableContents"/>
              <w:bidi w:val="0"/>
              <w:spacing w:before="0" w:after="283"/>
              <w:jc w:val="both"/>
              <w:rPr/>
            </w:pPr>
            <w:hyperlink w:anchor="Da_014">
              <w:r>
                <w:rPr>
                  <w:rStyle w:val="InternetLink"/>
                  <w:rFonts w:ascii="Times New Roman;Times;Serif" w:hAnsi="Times New Roman;Times;Serif"/>
                  <w:b w:val="false"/>
                  <w:i w:val="false"/>
                  <w:caps w:val="false"/>
                  <w:smallCaps w:val="false"/>
                  <w:sz w:val="20"/>
                </w:rPr>
                <w:t>Incorporation By Reference</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S-12</w:t>
            </w:r>
          </w:p>
        </w:tc>
      </w:tr>
    </w:tbl>
    <w:p>
      <w:pPr>
        <w:pStyle w:val="TextBody"/>
        <w:bidi w:val="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S-i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Da_001"/>
      <w:bookmarkEnd w:id="16"/>
      <w:r>
        <w:rPr>
          <w:rFonts w:ascii="Times New Roman;Times;Serif" w:hAnsi="Times New Roman;Times;Serif"/>
          <w:b/>
          <w:i w:val="false"/>
          <w:caps w:val="false"/>
          <w:smallCaps w:val="false"/>
          <w:sz w:val="20"/>
        </w:rPr>
        <w:t xml:space="preserve">ABOUT THIS PROSPECTUS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mentioned or unless the context requires otherwise, all references in this prospectus to “the company,” “Stereotaxis,” “we,” “us,” “our,” or similar references mean Stereotaxis,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a part of a registration statement on Form S-3 that we filed with the SEC utilizing a “shelf” registration process. Under this shelf registration process, we may sell any combination of the securities described in this prospectus in one or more offerings up to a total aggregate offering price of $50,000,000. The $50,000,000 in aggregate offering price of common stock that may be offered and sold under this prospectus is not included in the $100,000,000 of securities that may be offered, issued and sold by us using a separate universal base prospectus that is included in registration statement of which this prospectus is a 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authorized any dealer, salesman or other person to give any information or to make any representation other than those contained or incorporated by reference in this prospectus. We take no responsibility for, and can provide no assurances as to, the reliability of, any other information that others may give you. This prospectus does not constitute an offer to sell or the solicitation of an offer to buy common stock, nor does this prospectus constitute an offer to sell or the solicitation of an offer to buy common stock in any jurisdiction to any person to whom it is unlawful to make such offer or solicitation in such jurisdiction. You should not assume that the information contained in this prospectus is accurate on any date subsequent to the date set forth on the front of the document or that any information we have incorporated by reference is correct on any date subsequent to the date of the document incorporated by reference, even though this prospectus is delivered or common stock is sold on a later date.</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S-ii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Da_002"/>
      <w:bookmarkEnd w:id="17"/>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other materials filed or to be filed by us with the SEC (as well as information included in oral statements or other written statements made or to be made by us or our representatives), contain “forward-looking” statements within the meaning of the Private Securities Litigation Reform Act of 1995. These statements relate to, among other things: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pPr>
            <w:r>
              <w:rPr/>
              <w:t>our business, operating, sales and marketing, and regulatory strategies;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pPr>
            <w:r>
              <w:rPr/>
              <w:t>our value proposition;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pPr>
            <w:r>
              <w:rPr/>
              <w:t>our overall liquidity and our ability to fund operations;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pPr>
            <w:r>
              <w:rPr/>
              <w:t>our ability to convert backlog to revenue;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jc w:val="both"/>
              <w:rPr/>
            </w:pPr>
            <w:r>
              <w:rPr/>
              <w:t>the ability of physicians to perform certain medical procedures with our products</w:t>
            </w:r>
          </w:p>
          <w:p>
            <w:pPr>
              <w:pStyle w:val="TableContents"/>
              <w:bidi w:val="0"/>
              <w:spacing w:before="0" w:after="283"/>
              <w:jc w:val="both"/>
              <w:rPr/>
            </w:pPr>
            <w:r>
              <w:rPr/>
              <w:t>safely, effectively and efficiently;</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pPr>
            <w:r>
              <w:rPr/>
              <w:t>the adoption of our products by hospitals and physicians;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pPr>
            <w:r>
              <w:rPr/>
              <w:t>the market opportunity for our products, including expected demand for our products;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pPr>
            <w:r>
              <w:rPr/>
              <w:t>the timing and prospects for regulatory approval of our additional disposable interventional devices;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pPr>
            <w:r>
              <w:rPr/>
              <w:t>the success of our business partnerships and strategic relationships;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pPr>
            <w:r>
              <w:rPr/>
              <w:t>our industry generally, and overall macroeconomic conditions;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pPr>
            <w:r>
              <w:rPr/>
              <w:t>our estimates regarding our capital requirements;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pPr>
            <w:r>
              <w:rPr/>
              <w:t>our plans for hiring additional personnel;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pPr>
            <w:r>
              <w:rPr/>
              <w:t>any of our other plans, objectives, expectations and intentions contained in this annual report are not historical facts.</w:t>
            </w:r>
          </w:p>
        </w:tc>
      </w:tr>
    </w:tbl>
    <w:p>
      <w:pPr>
        <w:pStyle w:val="TextBody"/>
        <w:bidi w:val="0"/>
        <w:spacing w:before="0" w:after="0"/>
        <w:ind w:left="121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relate to future events or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such forward-looking statements. No forward-looking statement is a guarantee of future performance. In some cases, you can identify forward-looking statements by terminology such as “may”, “will”, “should”, “could”, “expects”, “plans”, “intends”, “anticipates”, “believes”, “estimates”, “predicts”, “potential”, or “continue”, or the negative of such terms or other comparable terminology. Although we believe that the expectations reflected in the forward-looking statements are reasonable, we cannot guarantee future results, levels of activity, performance, or achievements. These statements are only predictions.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Factors that may cause our actual results to differ materially from our forward-looking statements include, among others, changes in general economic and business conditions and the risks and other factors set forth in “Risk Factors” in this prospectus and </w:t>
      </w:r>
      <w:r>
        <w:rPr>
          <w:rFonts w:ascii="Times New Roman;Times;Serif" w:hAnsi="Times New Roman;Times;Serif"/>
          <w:b w:val="false"/>
          <w:i w:val="false"/>
          <w:caps w:val="false"/>
          <w:smallCaps w:val="false"/>
          <w:sz w:val="20"/>
          <w:shd w:fill="FFFFFF" w:val="clear"/>
        </w:rPr>
        <w:t>Part I, Item 1A of our Annual Report on Form 10-K for the year ended December 31, 2025, as updated by our subsequent filings with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actual results may be materially different from what we expect. We expressly disclaim any obligation or undertaking to release publicly any updates or revisions to any forward-looking statements contained herein to reflect any change in our expectations or any changes in events, conditions or circumstances on which any such statement is based, except as required by law. We qualify all of our forward-looking statements by these cautionary statements.</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S-iii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Da_003"/>
      <w:bookmarkEnd w:id="18"/>
      <w:r>
        <w:rPr>
          <w:rFonts w:ascii="Times New Roman;Times;Serif" w:hAnsi="Times New Roman;Times;Serif"/>
          <w:b/>
          <w:i w:val="false"/>
          <w:caps w:val="false"/>
          <w:smallCaps w:val="false"/>
          <w:sz w:val="20"/>
        </w:rPr>
        <w:t>PROSPECTUS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The following information about this offering summarizes, and should be read in conjunction with, the information contained in this prospectus and the documents incorporated herein and therein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Stereotaxis designs, manufactures and markets robotic systems, instruments and information systems for the interventional laboratory. Our proprietary robotic technology, Robotic Magnetic Navigation, fundamentally transforms endovascular interventions using precise computer-controlled magnetic fields to directly control the tip of flexible interventional catheters or devices. Direct control of the tip of an interventional device, in contrast to all manual hand-held devices that are controlled from their handle, can improve the precision, stability, reach and safety of these devices during procedures.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clinical focus has been electrophysiology, specifically cardiac ablation procedures for the treatment of arrhythmias. Cardiac ablation has become a well-accepted therapy for arrhythmias and a multi-billion-dollar medical device market with expectations for substantial long-term growth. We have shared our aspiration and product strategy to expand the clinical focus of our technology to several additional endovascular indications including coronary, neuro, and peripheral interventions.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substantial real-world evidence and clinical literature for Robotic Magnetic Navigation in electrophysiology. Hundreds of electrophysiologists at over one hundred hospitals globally have treated over 150,000 arrhythmia patients with our robotic technology. Clinical use of our technology has been documented in over 500 clinical publications. Robotic Magnetic Navigation is designed to enable physicians to complete more complex interventional procedures with greater success and safety by providing image-guided delivery of catheters through the blood vessels and chambers of the heart to treatment sites. This is achieved using externally applied computer-controlled magnetic fields that govern the motion of the working tip of the catheter, resulting in improved navigation. The more flexible atraumatic design of catheters driven using magnetic fields may reduce the risk of patient harm and other adverse events. Performing the procedure from a control cockpit enables physicians to complete procedures in a safe location protected from x-ray exposure, with greater ergonomics, and improved efficiency. We believe these benefits can be applicable in other endovascular indications where navigation through complex vasculature is often challenging or unsuccessful and generates significant x-ray exposure.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primary products include the </w:t>
      </w:r>
      <w:r>
        <w:rPr>
          <w:rFonts w:ascii="Times New Roman;Times;Serif" w:hAnsi="Times New Roman;Times;Serif"/>
          <w:b w:val="false"/>
          <w:i/>
          <w:caps w:val="false"/>
          <w:smallCaps w:val="false"/>
          <w:sz w:val="20"/>
        </w:rPr>
        <w:t xml:space="preserve">Genesis RMN </w:t>
      </w:r>
      <w:r>
        <w:rPr>
          <w:rFonts w:ascii="Times New Roman;Times;Serif" w:hAnsi="Times New Roman;Times;Serif"/>
          <w:b w:val="false"/>
          <w:i w:val="false"/>
          <w:caps w:val="false"/>
          <w:smallCaps w:val="false"/>
          <w:sz w:val="20"/>
        </w:rPr>
        <w:t xml:space="preserve">and the </w:t>
      </w:r>
      <w:r>
        <w:rPr>
          <w:rFonts w:ascii="Times New Roman;Times;Serif" w:hAnsi="Times New Roman;Times;Serif"/>
          <w:b w:val="false"/>
          <w:i/>
          <w:caps w:val="false"/>
          <w:smallCaps w:val="false"/>
          <w:sz w:val="20"/>
        </w:rPr>
        <w:t xml:space="preserve">GenesisX RMN </w:t>
      </w:r>
      <w:r>
        <w:rPr>
          <w:rFonts w:ascii="Times New Roman;Times;Serif" w:hAnsi="Times New Roman;Times;Serif"/>
          <w:b w:val="false"/>
          <w:i w:val="false"/>
          <w:caps w:val="false"/>
          <w:smallCaps w:val="false"/>
          <w:sz w:val="20"/>
        </w:rPr>
        <w:t xml:space="preserve">Systems, the </w:t>
      </w:r>
      <w:r>
        <w:rPr>
          <w:rFonts w:ascii="Times New Roman;Times;Serif" w:hAnsi="Times New Roman;Times;Serif"/>
          <w:b w:val="false"/>
          <w:i/>
          <w:caps w:val="false"/>
          <w:smallCaps w:val="false"/>
          <w:sz w:val="20"/>
        </w:rPr>
        <w:t xml:space="preserve">Odyssey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caps w:val="false"/>
          <w:smallCaps w:val="false"/>
          <w:sz w:val="20"/>
        </w:rPr>
        <w:t xml:space="preserve">Synchrony &amp; SynX </w:t>
      </w:r>
      <w:r>
        <w:rPr>
          <w:rFonts w:ascii="Times New Roman;Times;Serif" w:hAnsi="Times New Roman;Times;Serif"/>
          <w:b w:val="false"/>
          <w:i w:val="false"/>
          <w:caps w:val="false"/>
          <w:smallCaps w:val="false"/>
          <w:sz w:val="20"/>
        </w:rPr>
        <w:t>Solutions, various interventional devices under the Map-iT, MAGiC and EMAGIN brands, and other related devices. Through our strategic relationships with fluoroscopy system manufacturers, providers of catheters and electrophysiology mapping systems, and other parties, we offer our customers x-ray systems and other accessory devices.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r>
        <w:rPr>
          <w:rFonts w:ascii="Times New Roman;Times;Serif" w:hAnsi="Times New Roman;Times;Serif"/>
          <w:b w:val="false"/>
          <w:i/>
          <w:caps w:val="false"/>
          <w:smallCaps w:val="false"/>
          <w:sz w:val="20"/>
        </w:rPr>
        <w:t xml:space="preserve">Genesis RMN </w:t>
      </w:r>
      <w:r>
        <w:rPr>
          <w:rFonts w:ascii="Times New Roman;Times;Serif" w:hAnsi="Times New Roman;Times;Serif"/>
          <w:b w:val="false"/>
          <w:i w:val="false"/>
          <w:caps w:val="false"/>
          <w:smallCaps w:val="false"/>
          <w:sz w:val="20"/>
        </w:rPr>
        <w:t xml:space="preserve">and the </w:t>
      </w:r>
      <w:r>
        <w:rPr>
          <w:rFonts w:ascii="Times New Roman;Times;Serif" w:hAnsi="Times New Roman;Times;Serif"/>
          <w:b w:val="false"/>
          <w:i/>
          <w:caps w:val="false"/>
          <w:smallCaps w:val="false"/>
          <w:sz w:val="20"/>
        </w:rPr>
        <w:t xml:space="preserve">GenesisX RMN </w:t>
      </w:r>
      <w:r>
        <w:rPr>
          <w:rFonts w:ascii="Times New Roman;Times;Serif" w:hAnsi="Times New Roman;Times;Serif"/>
          <w:b w:val="false"/>
          <w:i w:val="false"/>
          <w:caps w:val="false"/>
          <w:smallCaps w:val="false"/>
          <w:sz w:val="20"/>
        </w:rPr>
        <w:t xml:space="preserve">Systems are designed to enable physicians to complete more complex interventional procedures by providing image-guided delivery of catheters through the blood vessels and chambers of the heart to treatment sites. This is achieved using externally applied magnetic fields that govern the motion of the working tip of the catheter, resulting in improved navigation, efficient procedures, and reduced x-ray exposure. The </w:t>
      </w:r>
      <w:r>
        <w:rPr>
          <w:rFonts w:ascii="Times New Roman;Times;Serif" w:hAnsi="Times New Roman;Times;Serif"/>
          <w:b w:val="false"/>
          <w:i/>
          <w:caps w:val="false"/>
          <w:smallCaps w:val="false"/>
          <w:sz w:val="20"/>
        </w:rPr>
        <w:t xml:space="preserve">GenesisX RMN </w:t>
      </w:r>
      <w:r>
        <w:rPr>
          <w:rFonts w:ascii="Times New Roman;Times;Serif" w:hAnsi="Times New Roman;Times;Serif"/>
          <w:b w:val="false"/>
          <w:i w:val="false"/>
          <w:caps w:val="false"/>
          <w:smallCaps w:val="false"/>
          <w:sz w:val="20"/>
        </w:rPr>
        <w:t>System</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the latest generation of the </w:t>
      </w:r>
      <w:r>
        <w:rPr>
          <w:rFonts w:ascii="Times New Roman;Times;Serif" w:hAnsi="Times New Roman;Times;Serif"/>
          <w:b w:val="false"/>
          <w:i/>
          <w:caps w:val="false"/>
          <w:smallCaps w:val="false"/>
          <w:sz w:val="20"/>
        </w:rPr>
        <w:t>Genesis RMN</w:t>
      </w:r>
      <w:r>
        <w:rPr>
          <w:rFonts w:ascii="Times New Roman;Times;Serif" w:hAnsi="Times New Roman;Times;Serif"/>
          <w:b w:val="false"/>
          <w:i w:val="false"/>
          <w:caps w:val="false"/>
          <w:smallCaps w:val="false"/>
          <w:sz w:val="20"/>
        </w:rPr>
        <w:t xml:space="preserve"> System, is designed to significantly enhance the accessibility of Robotic Magnetic Navigation by reducing the lengthy construction cycle necessary to install prior generation RMN systems.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r>
        <w:rPr>
          <w:rFonts w:ascii="Times New Roman;Times;Serif" w:hAnsi="Times New Roman;Times;Serif"/>
          <w:b w:val="false"/>
          <w:i/>
          <w:caps w:val="false"/>
          <w:smallCaps w:val="false"/>
          <w:sz w:val="20"/>
        </w:rPr>
        <w:t xml:space="preserve">Odyssey </w:t>
      </w:r>
      <w:r>
        <w:rPr>
          <w:rFonts w:ascii="Times New Roman;Times;Serif" w:hAnsi="Times New Roman;Times;Serif"/>
          <w:b w:val="false"/>
          <w:i w:val="false"/>
          <w:caps w:val="false"/>
          <w:smallCaps w:val="false"/>
          <w:sz w:val="20"/>
        </w:rPr>
        <w:t xml:space="preserve">Solution consolidates lab information onto one large integrated display, enabling physicians to view and control all the key information in the operating room. This is designed to improve lab layout and procedure efficiency. The system also features a remote viewing and recording capability called </w:t>
      </w:r>
      <w:r>
        <w:rPr>
          <w:rFonts w:ascii="Times New Roman;Times;Serif" w:hAnsi="Times New Roman;Times;Serif"/>
          <w:b w:val="false"/>
          <w:i/>
          <w:caps w:val="false"/>
          <w:smallCaps w:val="false"/>
          <w:sz w:val="20"/>
        </w:rPr>
        <w:t>Odyssey Cinema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caps w:val="false"/>
          <w:smallCaps w:val="false"/>
          <w:sz w:val="20"/>
        </w:rPr>
        <w:t xml:space="preserve">Odyssey </w:t>
      </w:r>
      <w:r>
        <w:rPr>
          <w:rFonts w:ascii="Times New Roman;Times;Serif" w:hAnsi="Times New Roman;Times;Serif"/>
          <w:b w:val="false"/>
          <w:i w:val="false"/>
          <w:caps w:val="false"/>
          <w:smallCaps w:val="false"/>
          <w:sz w:val="20"/>
        </w:rPr>
        <w:t xml:space="preserve">Solution and </w:t>
      </w:r>
      <w:r>
        <w:rPr>
          <w:rFonts w:ascii="Times New Roman;Times;Serif" w:hAnsi="Times New Roman;Times;Serif"/>
          <w:b w:val="false"/>
          <w:i/>
          <w:caps w:val="false"/>
          <w:smallCaps w:val="false"/>
          <w:sz w:val="20"/>
        </w:rPr>
        <w:t>Odyssey Cinema</w:t>
      </w:r>
      <w:r>
        <w:rPr>
          <w:rFonts w:ascii="Times New Roman;Times;Serif" w:hAnsi="Times New Roman;Times;Serif"/>
          <w:b w:val="false"/>
          <w:i w:val="false"/>
          <w:caps w:val="false"/>
          <w:smallCaps w:val="false"/>
          <w:sz w:val="20"/>
        </w:rPr>
        <w:t xml:space="preserve"> are being replaced by next generation innovative solutions branded </w:t>
      </w:r>
      <w:r>
        <w:rPr>
          <w:rFonts w:ascii="Times New Roman;Times;Serif" w:hAnsi="Times New Roman;Times;Serif"/>
          <w:b w:val="false"/>
          <w:i/>
          <w:caps w:val="false"/>
          <w:smallCaps w:val="false"/>
          <w:sz w:val="20"/>
        </w:rPr>
        <w:t>Synchrony</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SynX</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Synchrony</w:t>
      </w:r>
      <w:r>
        <w:rPr>
          <w:rFonts w:ascii="Times New Roman;Times;Serif" w:hAnsi="Times New Roman;Times;Serif"/>
          <w:b w:val="false"/>
          <w:i w:val="false"/>
          <w:caps w:val="false"/>
          <w:smallCaps w:val="false"/>
          <w:sz w:val="20"/>
        </w:rPr>
        <w:t xml:space="preserve"> digitizes and modernizes the interventional cath lab with a 4K high-definition display that consolidates the viewing and control of disparate systems in the lab, offering enhanced procedure experience with custom layouts, streamlined workflows, an intuitive user interface, and a decluttered environment. </w:t>
      </w:r>
      <w:r>
        <w:rPr>
          <w:rFonts w:ascii="Times New Roman;Times;Serif" w:hAnsi="Times New Roman;Times;Serif"/>
          <w:b w:val="false"/>
          <w:i/>
          <w:caps w:val="false"/>
          <w:smallCaps w:val="false"/>
          <w:sz w:val="20"/>
        </w:rPr>
        <w:t>Synchrony</w:t>
      </w:r>
      <w:r>
        <w:rPr>
          <w:rFonts w:ascii="Times New Roman;Times;Serif" w:hAnsi="Times New Roman;Times;Serif"/>
          <w:b w:val="false"/>
          <w:i w:val="false"/>
          <w:caps w:val="false"/>
          <w:smallCaps w:val="false"/>
          <w:sz w:val="20"/>
        </w:rPr>
        <w:t xml:space="preserve"> is made available with </w:t>
      </w:r>
      <w:r>
        <w:rPr>
          <w:rFonts w:ascii="Times New Roman;Times;Serif" w:hAnsi="Times New Roman;Times;Serif"/>
          <w:b w:val="false"/>
          <w:i/>
          <w:caps w:val="false"/>
          <w:smallCaps w:val="false"/>
          <w:sz w:val="20"/>
        </w:rPr>
        <w:t>SynX</w:t>
      </w:r>
      <w:r>
        <w:rPr>
          <w:rFonts w:ascii="Times New Roman;Times;Serif" w:hAnsi="Times New Roman;Times;Serif"/>
          <w:b w:val="false"/>
          <w:i w:val="false"/>
          <w:caps w:val="false"/>
          <w:smallCaps w:val="false"/>
          <w:sz w:val="20"/>
        </w:rPr>
        <w:t xml:space="preserve"> a cloud-based HIPAA and GDPR-compliant browser and mobile-based app that allows for secure remote connectivity, collaboration, recording, and monitoring of the cath lab. As these technologies gain regulatory approvals they are being commercialized alongside RMN systems and as stand-alone solutions.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pursue arrangements with fluoroscopy system manufacturers to provide such systems in a bundled purchase offer for hospitals establishing robotic interventional operating rooms. An integrated x-ray system is critical for customer adoption of RMN systems, and when offered as a bundled purchase with the RMN System, it may reduce the cost of acquisition, the ongoing cost of ownership, and the complexity of installation of a robotic electrophysiology practice.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We promote our full suite of products necessary for a typical hospital implementation, subject to regulatory approvals or clearances. This implementation requires a hospital to agree to an upfront capital payment and recurring payments. The upfront capital payment typically includes equipment and installation charges. The recurring payments typically include disposable costs for each procedure, equipment service costs beyond the warranty period, and ongoing software updates. In hospitals where our full suite of products has not been implemented, equipment upgrade or expansion can be implemented upon purchasing of the necessary upgrade or expansion.</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strategic relationships with technology leaders and innovators in the global interventional market. Through these strategic relationships we provide compatibility with our robotic magnetic navigation system, integrated x-ray systems, digital imaging and 3D catheter location sensing technology, and compatible disposable interventional devices. The maintenance of these strategic relationships, or the establishment of equivalent alternatives, is critical to our commercialization efforts. There are no guarantees that any existing strategic relationships will continue, and efforts are ongoing to ensure the availability of compatible systems and devices and/or equivalent alternatives. We cannot provide assurance as to the timeline of the ongoing availability of such compatible systems or our ability to obtain equivalent alternatives on competitive terms or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incorporated in Delaware in June 1990. Our principal executive offices are located at 710 North Tucker Boulevard, Suite 110, St. Louis, Missouri 63101, and our telephone number is (314) 678-6100. Our website address is www.stereotaxis.com. Information contained on our website is not incorporated by reference into and does not form any part of this prospectus. As used in this prospectus, references to “Company”, “we”, “our”, “us” and “Stereotaxis” refer to Stereotaxis, Inc. unless the context requires otherwise. GenesisX RMN</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Genesis RMN</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Niobe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Navigant</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Synchrony™, SynX™, Odyssey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Odyssey Cinema</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MAGiC™, MAGiC Sweep™, EMAGIN™, Map-iT™, QuikCAS</w:t>
      </w:r>
      <w:r>
        <w:rPr>
          <w:rFonts w:ascii="Times New Roman;Times;Serif" w:hAnsi="Times New Roman;Times;Serif"/>
          <w:b w:val="false"/>
          <w:i w:val="false"/>
          <w:caps w:val="false"/>
          <w:smallCaps w:val="false"/>
          <w:position w:val="7"/>
          <w:sz w:val="16"/>
          <w:sz w:val="20"/>
        </w:rPr>
        <w:t>™, </w:t>
      </w:r>
      <w:r>
        <w:rPr>
          <w:rFonts w:ascii="Times New Roman;Times;Serif" w:hAnsi="Times New Roman;Times;Serif"/>
          <w:b w:val="false"/>
          <w:i w:val="false"/>
          <w:caps w:val="false"/>
          <w:smallCaps w:val="false"/>
          <w:sz w:val="20"/>
        </w:rPr>
        <w:t>Cardiodrive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Vdrive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Vdrive Duo</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V-CAS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V-Loop</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V-Sono™, and NuVizion™. are trademarks of Stereotaxis, Inc. All other trademarks that may appear in this prospectus are the property of their respective owners.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Da_004"/>
      <w:bookmarkEnd w:id="19"/>
      <w:r>
        <w:rPr>
          <w:rFonts w:ascii="Times New Roman;Times;Serif" w:hAnsi="Times New Roman;Times;Serif"/>
          <w:b/>
          <w:i w:val="false"/>
          <w:caps w:val="false"/>
          <w:smallCaps w:val="false"/>
          <w:sz w:val="20"/>
        </w:rPr>
        <w:t>THE OFFERING</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13"/>
        <w:gridCol w:w="60"/>
        <w:gridCol w:w="8332"/>
      </w:tblGrid>
      <w:tr>
        <w:trPr/>
        <w:tc>
          <w:tcPr>
            <w:tcW w:w="18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Offered by Us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our common stock having an aggregate offering price of up to $50 million pursuant to the Sales Agreement.</w:t>
            </w:r>
          </w:p>
        </w:tc>
      </w:tr>
      <w:tr>
        <w:trPr/>
        <w:tc>
          <w:tcPr>
            <w:tcW w:w="181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Manner of the Offering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2"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At the market offering” as defined in Rule 415(a)(4) promulgated under the Securities Act that may be made from time to time through or to Roth as sales agent or principal. See “Plan of Distribution” on page S-10 of this prospectus.</w:t>
            </w:r>
          </w:p>
        </w:tc>
      </w:tr>
      <w:tr>
        <w:trPr/>
        <w:tc>
          <w:tcPr>
            <w:tcW w:w="181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to Be Outstanding After the Offering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123,844,681 shares, assuming sales of 26,595,745 shares of common stock are made in this offering at an assumed offering price of $1.88 per share, which was the last reported sale price of shares of our common stock on the NYSE American on March 12, 2026. The actual number of shares that may be issued will vary depending on the sales price under this offering.</w:t>
            </w:r>
          </w:p>
        </w:tc>
      </w:tr>
      <w:tr>
        <w:trPr/>
        <w:tc>
          <w:tcPr>
            <w:tcW w:w="181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Proceeds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of this offering for working capital, research and development, and other general corporate purposes, including the accelerated commercialization of our innovation pipeline. See “Use of Proceeds” on page S-5 of this prospectus.</w:t>
            </w:r>
          </w:p>
        </w:tc>
      </w:tr>
      <w:tr>
        <w:trPr/>
        <w:tc>
          <w:tcPr>
            <w:tcW w:w="181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NYSE American Market Symbol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STXS</w:t>
            </w:r>
          </w:p>
        </w:tc>
      </w:tr>
      <w:tr>
        <w:trPr/>
        <w:tc>
          <w:tcPr>
            <w:tcW w:w="181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Policy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currently intend to pay cash dividends on our common stock.</w:t>
            </w:r>
          </w:p>
        </w:tc>
      </w:tr>
      <w:tr>
        <w:trPr/>
        <w:tc>
          <w:tcPr>
            <w:tcW w:w="181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Factors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our common stock involves significant risks. Before making an investment in our common stock, you should carefully review the “Risk Factors” included and incorporated by reference into this prospectus.</w:t>
            </w:r>
          </w:p>
        </w:tc>
      </w:tr>
      <w:tr>
        <w:trPr/>
        <w:tc>
          <w:tcPr>
            <w:tcW w:w="181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Agent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Broadridge Corporate Issuer Solutions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our common stock to be outstanding after this offering in the table above is based on 97,248,936 shares outstanding as of February 28, 2026 and does not include (i) 23,721,108 shares reserved for issuance pursuant to our stock option, restricted stock and stock purchase plans, including 19,874,733 shares issuable pursuant to outstanding awards under such plans, (ii) 51,401,694 shares of common stock issuable and reserved for issuance upon the conversion of Series A Convertible Preferred Stock and accumulated dividends, in each case as of February 28, 2026. We may become obligated to issue additional earnout shares under the APT EP acquisition agreement, depending on the extent to which the product revenue and regulatory approval milestones through September 30, 2029, but in no event more than 19.9% of the total number of shares of our common stock issued and outstanding immediately prior to July 31, 2024. Any such earnout shares would be “restricted securities.” We registered up to 4,613,380 of such additional earnout shares (of which 1,419,523 shares have been issued prior to the date of this prospectus) as part of a separate resale registration statement on Form S-3 in September 2024, which amount represented our good faith estimate of the aggregate number of earnout shares we reasonably expected to issue to APT Holding pursuant to our acquisition agreement with them. However, the actual number of earnout shares we may issue could be materially greater or less than 4,613,380 depending whether and to what extent the future revenue milestones are met and/or regulatory approvals are obtained, as well as the actual average closing price of our common stock calculated pursuant to a formula near the time such milestones are achieved.</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Da_005"/>
      <w:bookmarkEnd w:id="20"/>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Before you invest in our common stock, you should know that making such an investment involves significant risks. You should carefully consider the following information about these risks, together with the other information contained in this prospectus and the information incorporated by reference, including risk factors contained in Part I, Item 1A of our Annual Report on Form 10-K for the year ended December 31, 2025 and any subsequent Annual Reports on Form 10-K, Quarterly Reports on Form 10-Q or Current Reports on Form 8-K </w:t>
      </w:r>
      <w:r>
        <w:rPr>
          <w:rFonts w:ascii="Times New Roman;Times;Serif" w:hAnsi="Times New Roman;Times;Serif"/>
          <w:b w:val="false"/>
          <w:i w:val="false"/>
          <w:caps w:val="false"/>
          <w:smallCaps w:val="false"/>
          <w:sz w:val="20"/>
        </w:rPr>
        <w:t xml:space="preserve">as well as any amendments thereto reflected in subsequent filings, </w:t>
      </w:r>
      <w:r>
        <w:rPr>
          <w:rFonts w:ascii="Times New Roman;Times;Serif" w:hAnsi="Times New Roman;Times;Serif"/>
          <w:b w:val="false"/>
          <w:i w:val="false"/>
          <w:caps w:val="false"/>
          <w:smallCaps w:val="false"/>
          <w:sz w:val="20"/>
          <w:shd w:fill="FFFFFF" w:val="clear"/>
        </w:rPr>
        <w:t>before purchasing the shares of common stock offered pursuant to this prospectus. The risks that we have highlighted here are not the only ones that we face. For example, additional risks presently unknown to us or that we currently consider immaterial or unlikely to occur could also impair our operations. If any of the risks actually occur, our business, financial condition or results of operations could be negatively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this Offering and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 will have broad discretion as to the use of the proceeds from this offering, and we may not use the proceeds effectively.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will have broad discretion in the application of the net proceeds from this offering and could spend the proceeds in ways that do not improve our results of operations or enhance the value of our common stock. Our failure to apply these funds effectively could have a material adverse effect on our business and cause the price of our common stock to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common stock offered hereby will be sold in “at the market” offerings, and investors who buy shares at different times will likely pay different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who purchase shares in this offering at different times will likely pay different prices and so may experience different outcomes in their investment results. We will have discretion, subject to market demand, to vary the timing, prices, and numbers of shares sold, and there is no minimum or maximum sales price. Investors may experience a decline in the value of their shares as a result of share sales made at prices lower than the prices they paid.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actual number of shares we will issue under the Sales Agreement, at any one time or in total, is uncertain.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in the Sales Agreement and compliance with applicable law, we have the discretion to deliver placement notices to Roth at any time throughout the term of the Sales Agreement. The number of shares that are sold by Roth after delivering a placement notice will fluctuate based on the market price of the common stock during the sales period and limits we set with Roth. Because the price per share of each share sold will fluctuate based on the market price of shares of our common stock during the sales period, it is not possible at this stage to predict the number of shares of common stock that will or may be ultimately issued.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experience immediate and substantial dilution in the book value per share of the common stock you purchase.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sold in this offering, if any, will be sold from time to time at various prices. The offering price per share in this offering may exceed the net tangible book value per share of our common stock outstanding prior to this offering, in which case you will experience dilution representing the difference between our net tangible book value per share and the assumed offering price. In addition, a significant number of shares of our common stock are subject to issuance under our existing stock incentive plans and we may request the ability to issue additional such securities. We may also decide to raise additional funds through public or private debt or equity financing to fund our operations. We have $100.0 million of additional capacity (exclusive of this offering) under the universal shelf registration statement on Form S-3 of which this prospectus is a part, under which we may sell any combination of our common stock, preferred stock, debt securities, warrants, rights and/or units from time to time and at prices and on terms that we may determine.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cannot predict the effect, if any, that future sales of debt, our common stock, other equity securities or securities exercisable for or convertible into our common stock or other equity securities or the availability of any of the foregoing for future sale, will have on the market price of our common stock, it is likely that sales of substantial amounts of our common stock (including shares issued upon the exercise of stock options and stock appreciation rights, the vesting of restricted stock units, the vesting of performance shares units awarded to our Chief Executive Officer in 2021, the conversion of any convertible securities outstanding now or in the future, including the Series A Convertible Preferred Stock, utilizing the remaining capacity under our universal shelf registration statement and our obligation to issue further earnout shares in connection with our July 2024 acquisition of APT EP), will dilute the ownership of our existing stockholders and that the perception that such sales could occur, will adversely affect prevailing market prices for our common stock and impair our ability to raise capital through the sale of additional equity securities. See “Dilution” for a more detailed discussion of the dilution you may incur in connection with this offering.</w:t>
      </w:r>
    </w:p>
    <w:p>
      <w:pPr>
        <w:pStyle w:val="TextBody"/>
        <w:bidi w:val="0"/>
        <w:spacing w:before="0" w:after="0"/>
        <w:ind w:left="0" w:right="0" w:firstLine="36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S-3</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Da_006"/>
      <w:bookmarkEnd w:id="21"/>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our common stock are entitled to receive dividends when and as declared by our board of directors out of funds legally available for dividends, subject to the prior rights or preferences applicable to any preferred stock as may then be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all shares of our Series A Convertible Preferred Stock have been converted or redeemed, no dividends may be paid on the common stock without the express written consent of the holders of a majority of the outstanding shares of Series A Convertible Preferred Stock. In the event that dividends or other distributions of assets are made or paid by us to the holders of our common stock, the holders of shares of the Series A Convertible Preferred Stock are entitled to participate in such dividend or distribution on an as-converted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paid cash dividends on any of our capital stock, including our common stock, to date and we currently intend to retain our future earnings to fund the development and growth of our business. As a result, capital appreciation, if any, of our common stock will be an investor’s sole source of gain for the foreseeable future.</w:t>
      </w:r>
    </w:p>
    <w:p>
      <w:pPr>
        <w:pStyle w:val="TextBody"/>
        <w:bidi w:val="0"/>
        <w:spacing w:before="0" w:after="0"/>
        <w:ind w:left="0" w:right="0" w:firstLine="36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S-4</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Da_007"/>
      <w:bookmarkEnd w:id="22"/>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and sell shares of common stock having aggregate sales proceeds of up to $50 million from time to time, before deducting sales agent commissions and expenses. The amount of proceeds from this offering will depend upon the number of shares of our common stock sold and the market price at which they are sold. There can be no assurance that we will be able to sell any shares under, or fully utilize, the Sales Agreement with Roth.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this offering for:</w:t>
      </w:r>
    </w:p>
    <w:p>
      <w:pPr>
        <w:pStyle w:val="TextBody"/>
        <w:bidi w:val="0"/>
        <w:spacing w:before="0" w:after="0"/>
        <w:ind w:left="0" w:right="0" w:firstLine="360"/>
        <w:jc w:val="both"/>
        <w:rPr>
          <w:caps w:val="false"/>
          <w:smallCaps w:val="false"/>
        </w:rPr>
      </w:pPr>
      <w:r>
        <w:rPr>
          <w:caps w:val="false"/>
          <w:smallCaps w:val="false"/>
        </w:rPr>
        <w:t> </w:t>
      </w:r>
    </w:p>
    <w:tbl>
      <w:tblPr>
        <w:tblW w:w="9550" w:type="dxa"/>
        <w:jc w:val="left"/>
        <w:tblInd w:w="0" w:type="dxa"/>
        <w:tblLayout w:type="fixed"/>
        <w:tblCellMar>
          <w:top w:w="0" w:type="dxa"/>
          <w:left w:w="0" w:type="dxa"/>
          <w:bottom w:w="0" w:type="dxa"/>
          <w:right w:w="0" w:type="dxa"/>
        </w:tblCellMar>
      </w:tblPr>
      <w:tblGrid>
        <w:gridCol w:w="75"/>
        <w:gridCol w:w="170"/>
        <w:gridCol w:w="93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working capital;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3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3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general corporate purposes, including the accelerated commercialization of Stereotaxis’ innovation pipeline.</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determined the amounts we plan to spend on any of the areas listed above or the timing of these expenditures. As a result, our management will have broad discretion to allocate the net proceeds from this offering. Pending application of the net proceeds as described above, we intend to temporarily invest the proceeds in short-term interest-bearing instruments.</w:t>
      </w:r>
    </w:p>
    <w:p>
      <w:pPr>
        <w:pStyle w:val="TextBody"/>
        <w:bidi w:val="0"/>
        <w:spacing w:before="0" w:after="0"/>
        <w:ind w:left="0" w:right="0" w:firstLine="72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Da_008"/>
      <w:bookmarkEnd w:id="23"/>
      <w:r>
        <w:rPr>
          <w:rFonts w:ascii="Times New Roman;Times;Serif" w:hAnsi="Times New Roman;Times;Serif"/>
          <w:b/>
          <w:i w:val="false"/>
          <w:caps w:val="false"/>
          <w:smallCaps w:val="false"/>
          <w:sz w:val="20"/>
        </w:rPr>
        <w:t>DILUTION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invest in our shares of common stock in this offering, you will suffer immediate and substantial dilution in the book value of the shares you purchase in an amount equal to the difference between the offering price per share in this offering and the as adjusted net tangible book value per share of our common stock immediately after this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tangible book value is the amount of our total tangible assets less our total liabilities. Net tangible book value per share is our net tangible book value divided by the number of shares of common stock outstanding as of December 31, 2025. Our net tangible book value as of December 31, 2025 was approximately $3.3 million, or $.04 per share of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effect to the assumed sale of 26,595,745 additional shares of common stock in this offering at an assumed public offering price of $1.88 per share (the last reported sale price per share of our common stock on the NYSE American on March 12, 2026), and after deducting the estimated sales agent fees and estimated offering-related expenses payable by us, our as adjusted net tangible book value as of December 31, 2025 would have been approximately $51.7 million, or $0.42 per share of common stock. This amount represents an immediate increase in the net tangible book value of $0.38 per share of our common stock to our existing stockholders and an immediate dilution in net tangible book value of $1.46 per share to investors purchasing shares of common stock in this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illustrates this dilution on a per share basis: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center"/>
        <w:tblInd w:w="0" w:type="dxa"/>
        <w:tblLayout w:type="fixed"/>
        <w:tblCellMar>
          <w:top w:w="0" w:type="dxa"/>
          <w:left w:w="0" w:type="dxa"/>
          <w:bottom w:w="0" w:type="dxa"/>
          <w:right w:w="0" w:type="dxa"/>
        </w:tblCellMar>
      </w:tblPr>
      <w:tblGrid>
        <w:gridCol w:w="8688"/>
        <w:gridCol w:w="60"/>
        <w:gridCol w:w="140"/>
        <w:gridCol w:w="490"/>
        <w:gridCol w:w="60"/>
        <w:gridCol w:w="60"/>
        <w:gridCol w:w="140"/>
        <w:gridCol w:w="490"/>
        <w:gridCol w:w="77"/>
      </w:tblGrid>
      <w:tr>
        <w:trPr/>
        <w:tc>
          <w:tcPr>
            <w:tcW w:w="8688" w:type="dxa"/>
            <w:tcBorders/>
            <w:shd w:fill="CCEEFF" w:val="clear"/>
            <w:vAlign w:val="center"/>
          </w:tcPr>
          <w:p>
            <w:pPr>
              <w:pStyle w:val="TableContents"/>
              <w:bidi w:val="0"/>
              <w:spacing w:before="0" w:after="283"/>
              <w:jc w:val="left"/>
              <w:rPr/>
            </w:pPr>
            <w:r>
              <w:rPr/>
              <w:t>Offering price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90" w:type="dxa"/>
            <w:tcBorders/>
            <w:shd w:fill="CCEEFF" w:val="clear"/>
            <w:vAlign w:val="center"/>
          </w:tcPr>
          <w:p>
            <w:pPr>
              <w:pStyle w:val="TableContents"/>
              <w:bidi w:val="0"/>
              <w:spacing w:before="0" w:after="283"/>
              <w:jc w:val="right"/>
              <w:rPr/>
            </w:pPr>
            <w:r>
              <w:rPr/>
              <w:t xml:space="preserve">1.88 </w:t>
            </w:r>
          </w:p>
        </w:tc>
        <w:tc>
          <w:tcPr>
            <w:tcW w:w="77" w:type="dxa"/>
            <w:tcBorders/>
            <w:shd w:fill="CCEEFF" w:val="clear"/>
            <w:vAlign w:val="center"/>
          </w:tcPr>
          <w:p>
            <w:pPr>
              <w:pStyle w:val="TableContents"/>
              <w:bidi w:val="0"/>
              <w:spacing w:before="0" w:after="283"/>
              <w:jc w:val="left"/>
              <w:rPr/>
            </w:pPr>
            <w:r>
              <w:rPr/>
              <w:t> </w:t>
            </w:r>
          </w:p>
        </w:tc>
      </w:tr>
      <w:tr>
        <w:trPr/>
        <w:tc>
          <w:tcPr>
            <w:tcW w:w="8688" w:type="dxa"/>
            <w:tcBorders/>
            <w:shd w:fill="FFFFFF" w:val="clear"/>
            <w:vAlign w:val="center"/>
          </w:tcPr>
          <w:p>
            <w:pPr>
              <w:pStyle w:val="TableContents"/>
              <w:bidi w:val="0"/>
              <w:spacing w:before="0" w:after="283"/>
              <w:jc w:val="left"/>
              <w:rPr/>
            </w:pPr>
            <w:r>
              <w:rPr/>
              <w:t>Net tangible book value per share as of December 31,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490" w:type="dxa"/>
            <w:tcBorders/>
            <w:shd w:fill="FFFFFF" w:val="clear"/>
            <w:vAlign w:val="center"/>
          </w:tcPr>
          <w:p>
            <w:pPr>
              <w:pStyle w:val="TableContents"/>
              <w:bidi w:val="0"/>
              <w:spacing w:before="0" w:after="283"/>
              <w:jc w:val="right"/>
              <w:rPr/>
            </w:pPr>
            <w:r>
              <w:rPr/>
              <w:t xml:space="preserve">0.04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8688" w:type="dxa"/>
            <w:tcBorders/>
            <w:shd w:fill="CCEEFF" w:val="clear"/>
            <w:vAlign w:val="center"/>
          </w:tcPr>
          <w:p>
            <w:pPr>
              <w:pStyle w:val="TableContents"/>
              <w:bidi w:val="0"/>
              <w:spacing w:before="0" w:after="283"/>
              <w:jc w:val="left"/>
              <w:rPr/>
            </w:pPr>
            <w:r>
              <w:rPr/>
              <w:t>Increase in net tangible book value per share as of December 31, 2025, attributable to this offering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90" w:type="dxa"/>
            <w:tcBorders/>
            <w:shd w:fill="CCEEFF" w:val="clear"/>
            <w:vAlign w:val="center"/>
          </w:tcPr>
          <w:p>
            <w:pPr>
              <w:pStyle w:val="TableContents"/>
              <w:bidi w:val="0"/>
              <w:spacing w:before="0" w:after="283"/>
              <w:jc w:val="right"/>
              <w:rPr/>
            </w:pPr>
            <w:r>
              <w:rPr/>
              <w:t xml:space="preserve">0.38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90"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8688" w:type="dxa"/>
            <w:tcBorders/>
            <w:shd w:fill="FFFFFF" w:val="clear"/>
            <w:vAlign w:val="center"/>
          </w:tcPr>
          <w:p>
            <w:pPr>
              <w:pStyle w:val="TableContents"/>
              <w:bidi w:val="0"/>
              <w:spacing w:before="0" w:after="283"/>
              <w:jc w:val="left"/>
              <w:rPr/>
            </w:pPr>
            <w:r>
              <w:rPr/>
              <w:t xml:space="preserve">As adjusted net tangible book value per share as of December 31, 2025, after giving effect to this offering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9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490" w:type="dxa"/>
            <w:tcBorders>
              <w:bottom w:val="single" w:sz="8" w:space="0" w:color="000000"/>
            </w:tcBorders>
            <w:shd w:fill="FFFFFF" w:val="clear"/>
            <w:tcMar>
              <w:bottom w:w="28" w:type="dxa"/>
            </w:tcMar>
            <w:vAlign w:val="center"/>
          </w:tcPr>
          <w:p>
            <w:pPr>
              <w:pStyle w:val="TableContents"/>
              <w:bidi w:val="0"/>
              <w:spacing w:before="0" w:after="283"/>
              <w:jc w:val="right"/>
              <w:rPr/>
            </w:pPr>
            <w:r>
              <w:rPr/>
              <w:t xml:space="preserve">0.42 </w:t>
            </w:r>
          </w:p>
        </w:tc>
        <w:tc>
          <w:tcPr>
            <w:tcW w:w="77" w:type="dxa"/>
            <w:tcBorders/>
            <w:shd w:fill="FFFFFF" w:val="clear"/>
            <w:vAlign w:val="center"/>
          </w:tcPr>
          <w:p>
            <w:pPr>
              <w:pStyle w:val="TableContents"/>
              <w:bidi w:val="0"/>
              <w:spacing w:before="0" w:after="283"/>
              <w:jc w:val="left"/>
              <w:rPr/>
            </w:pPr>
            <w:r>
              <w:rPr/>
              <w:t> </w:t>
            </w:r>
          </w:p>
        </w:tc>
      </w:tr>
      <w:tr>
        <w:trPr/>
        <w:tc>
          <w:tcPr>
            <w:tcW w:w="868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90"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8688" w:type="dxa"/>
            <w:tcBorders/>
            <w:shd w:fill="FFFFFF" w:val="clear"/>
            <w:vAlign w:val="center"/>
          </w:tcPr>
          <w:p>
            <w:pPr>
              <w:pStyle w:val="TableContents"/>
              <w:bidi w:val="0"/>
              <w:spacing w:before="0" w:after="283"/>
              <w:jc w:val="left"/>
              <w:rPr/>
            </w:pPr>
            <w:r>
              <w:rPr/>
              <w:t>Dilution in net tangible book value per share to new investors participating in this offering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90"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90" w:type="dxa"/>
            <w:tcBorders>
              <w:bottom w:val="double" w:sz="6" w:space="0" w:color="000000"/>
            </w:tcBorders>
            <w:shd w:fill="FFFFFF" w:val="clear"/>
            <w:tcMar>
              <w:bottom w:w="28" w:type="dxa"/>
            </w:tcMar>
            <w:vAlign w:val="center"/>
          </w:tcPr>
          <w:p>
            <w:pPr>
              <w:pStyle w:val="TableContents"/>
              <w:bidi w:val="0"/>
              <w:spacing w:before="0" w:after="283"/>
              <w:jc w:val="right"/>
              <w:rPr/>
            </w:pPr>
            <w:r>
              <w:rPr/>
              <w:t xml:space="preserve">1.46 </w:t>
            </w:r>
          </w:p>
        </w:tc>
        <w:tc>
          <w:tcPr>
            <w:tcW w:w="7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table is based on 95,335,613 shares of our common stock outstanding as of December 31, 2025 but excludes the following, each as of December 31, 2025:</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23,878,913 shares issuable pursuant to outstanding awards under our stock option, restricted stock and stock purchase plans;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51,401,694 shares of common stock issuable and reserved for issuance upon the conversion of Series A Convertible Preferred Stock and accumulated dividends;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additional earnout shares of our common stock issued to APT Holding as earnout consideration in connection with our acquisition of APT EP.</w:t>
            </w:r>
          </w:p>
        </w:tc>
      </w:tr>
    </w:tbl>
    <w:p>
      <w:pPr>
        <w:pStyle w:val="TextBody"/>
        <w:bidi w:val="0"/>
        <w:spacing w:before="0" w:after="0"/>
        <w:ind w:left="980" w:right="0" w:hanging="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any of these outstanding equity awards are exercised, these shares of Series A Convertible Preferred Stock are converted, or we issue additional shares under our stock option, restricted stock or stock purchase plans, there may be further dilution to investors.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pStyle w:val="TextBody"/>
        <w:bidi w:val="0"/>
        <w:spacing w:before="0" w:after="0"/>
        <w:ind w:left="0" w:right="0" w:firstLine="36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Da_009"/>
      <w:bookmarkEnd w:id="24"/>
      <w:r>
        <w:rPr>
          <w:rFonts w:ascii="Times New Roman;Times;Serif" w:hAnsi="Times New Roman;Times;Serif"/>
          <w:b/>
          <w:i w:val="false"/>
          <w:caps w:val="false"/>
          <w:smallCaps w:val="false"/>
          <w:sz w:val="20"/>
        </w:rPr>
        <w:t>DESCRIPTION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describes the common stock, $0.001 par value per share, of the Company. The following description is a summary and does not purport to be complete. It is subject to and qualified in its entirety by reference to (i) our Restated Certificate of Incorporation, as amended by the Certificate of Amendment to Amended and Restated Certificate of Incorporation and supplemented by any applicable Certificates of Designations relating to our preferred stock (as so amended and supplemented, the “Certificate of Incorporation”), and (ii) our Restated Bylaws (the “Bylaws”), each of which are incorporated by reference as an exhibit to the Annual Report on Form 10-K of which this Exhibit 4.2 is a part. We encourage you to read our Certificate of Incorporation, our Bylaws and the applicable provisions of the Delaware General Corporation Law for additional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and Outstanding Capital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capital stock consists of 300,000,000 shares of common stock and 10,000,000 shares of preferred stock, $0.001 par value per share, of which 24,000 shares are designated as Series A Convertible Preferred Stock (the “Series A Preferred”) and which are convertible into shares of our common stock at an initial conversion rate of $0.65 per share, subject to adjustment for events such as stock splits, combinations and the like as provided in the certificate of designations covering such Series A Preferred. The Series A Preferred bears dividends at a rate of six percent (6.0%) per annum, which are cumulative and accrue daily from the date of issuance on the $1,000 stated value. Such dividends will not be paid in cash, except in connection with any liquidation, dissolution or winding up of the Company or any redemption of the Series A Preferred. Instead, the value of the accrued dividends is added to the liquidation preference of the Series A Preferred and will increase the number of shares of common stock issuable upon conversion.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Voting Rights</w:t>
      </w:r>
      <w:r>
        <w:rPr>
          <w:rFonts w:ascii="Times New Roman;Times;Serif" w:hAnsi="Times New Roman;Times;Serif"/>
          <w:b w:val="false"/>
          <w:i w:val="false"/>
          <w:caps w:val="false"/>
          <w:smallCaps w:val="false"/>
          <w:sz w:val="20"/>
        </w:rPr>
        <w:t>. Holders of our common stock are entitled to one vote per share on all matters to be voted upon by shareholders. In addition, holders of our Series A Preferred are entitled to vote such shares on an as-converted basis with the common stock, subject to specified beneficial ownership issuance limitations. Delaware law generally provides that the affirmative vote of a majority of the shares cast at a duly held meeting at which a quorum is present shall be the act of the shareholders, provided that our Certificate of Incorporation and Bylaws require a 66-2/3% majority for approval of certain matters, as described under “—</w:t>
      </w:r>
      <w:r>
        <w:rPr>
          <w:rFonts w:ascii="Times New Roman;Times;Serif" w:hAnsi="Times New Roman;Times;Serif"/>
          <w:b w:val="false"/>
          <w:i/>
          <w:caps w:val="false"/>
          <w:smallCaps w:val="false"/>
          <w:sz w:val="20"/>
        </w:rPr>
        <w:t xml:space="preserve">Amendments; Supermajority Vote Requirements” </w:t>
      </w:r>
      <w:r>
        <w:rPr>
          <w:rFonts w:ascii="Times New Roman;Times;Serif" w:hAnsi="Times New Roman;Times;Serif"/>
          <w:b w:val="false"/>
          <w:i w:val="false"/>
          <w:caps w:val="false"/>
          <w:smallCaps w:val="false"/>
          <w:sz w:val="20"/>
        </w:rPr>
        <w:t>below. The presence at the meeting, by person or by proxy, of the holders of record of a majority of shares issued and outstanding and entitled to vote will constitute a quorum for transacting business. Our stockholders do not have cumulative voting rights in the election of directors. Accordingly, holders of a majority of the shares eligible to vote, which as of the date of this prospectus are holders of our common stock and our Series A Preferred, are able to elect all of the directors, subject to any rights to elect directors that may be granted to any then-outstanding preferred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Liquidation Rights</w:t>
      </w:r>
      <w:r>
        <w:rPr>
          <w:rFonts w:ascii="Times New Roman;Times;Serif" w:hAnsi="Times New Roman;Times;Serif"/>
          <w:b w:val="false"/>
          <w:i w:val="false"/>
          <w:caps w:val="false"/>
          <w:smallCaps w:val="false"/>
          <w:sz w:val="20"/>
        </w:rPr>
        <w:t>. If we are liquidated, our creditors and any holders of our preferred stock with preferential liquidation rights will be paid before any distribution to holders of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our Series A Preferred rank senior to shares of our common stock as to distributions and payments upon the liquidation, dissolution and winding up of the Company. No such distributions or payments upon the liquidation, dissolution or winding up of the Company may be made to holders of common stock unless and until the holders of the Series A Preferred have received the stated value of $1,000 per share plus any accrued and unpaid dividends. Our Series A Preferred bears dividends at a rate of six percent (6.0%) per annum, which are cumulative and accrue daily from their date of issuance in September 2016 on the $1,000 stated value. However, such dividends will not be paid in cash, except in connection with any liquidation, dissolution or winding up of the Company or any redemption of the Series A Preferred. Instead, the value of the accrued dividends is added to the liquidation preference of the Series A Preferred and will increase the number of shares of common stock issuable upon conversion, which will dilute the ownership of our common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prior and superior rights of the holders of the Series A Preferred and any other securities of the Company that rank senior to our common stock, upon liquidation, dissolution or winding up of the Company, shares of common stock will be entitled to receive distributions of any of the assets or surplus funds of the Company on a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basis.</w:t>
      </w:r>
    </w:p>
    <w:p>
      <w:pPr>
        <w:pStyle w:val="TextBody"/>
        <w:bidi w:val="0"/>
        <w:spacing w:before="0" w:after="0"/>
        <w:ind w:left="0" w:right="0" w:firstLine="36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S-7</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liquidation rights, preferences and privileges of holders of common stock are subject to, and may be adversely affected by, the rights of the holders of shares of any series of preferred stock which we may designate and issue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Dividend Rights</w:t>
      </w:r>
      <w:r>
        <w:rPr>
          <w:rFonts w:ascii="Times New Roman;Times;Serif" w:hAnsi="Times New Roman;Times;Serif"/>
          <w:b w:val="false"/>
          <w:i w:val="false"/>
          <w:caps w:val="false"/>
          <w:smallCaps w:val="false"/>
          <w:sz w:val="20"/>
        </w:rPr>
        <w:t>. The holders of our common stock are entitled to receive dividends when and as declared by our board of directors out of funds legally available for dividends, subject to the prior rights or preferences applicable to any preferred stock as may then be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all shares of our Series A Preferred have been converted or redeemed, no dividends may be paid on the common stock without the express written consent of the holders of a majority of the outstanding shares of Series A Preferred. In the event that dividends or other distributions of assets are made or paid by the Company to the holders of the common stock, the holders of shares of the Series A Preferred are entitled to participate in such dividend or distribution on an as-converted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declared or paid any cash dividends on its common stock and the Company does not presently intend to pay any cash dividends in the foreseeable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Other Rights and Preferences</w:t>
      </w:r>
      <w:r>
        <w:rPr>
          <w:rFonts w:ascii="Times New Roman;Times;Serif" w:hAnsi="Times New Roman;Times;Serif"/>
          <w:b w:val="false"/>
          <w:i w:val="false"/>
          <w:caps w:val="false"/>
          <w:smallCaps w:val="false"/>
          <w:sz w:val="20"/>
        </w:rPr>
        <w:t>. Shares of our common stock have no preemptive rights, no conversion rights, no redemption or sinking fund provisions, and are not liable for further call or assessment.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Listing</w:t>
      </w:r>
      <w:r>
        <w:rPr>
          <w:rFonts w:ascii="Times New Roman;Times;Serif" w:hAnsi="Times New Roman;Times;Serif"/>
          <w:b w:val="false"/>
          <w:i w:val="false"/>
          <w:caps w:val="false"/>
          <w:smallCaps w:val="false"/>
          <w:sz w:val="20"/>
        </w:rPr>
        <w:t>. Our common stock currently trades on the NYSE American LLC under the symbol “STXS.”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Interested Stockholder Transactions</w:t>
      </w:r>
      <w:r>
        <w:rPr>
          <w:rFonts w:ascii="Times New Roman;Times;Serif" w:hAnsi="Times New Roman;Times;Serif"/>
          <w:b w:val="false"/>
          <w:i w:val="false"/>
          <w:caps w:val="false"/>
          <w:smallCaps w:val="false"/>
          <w:sz w:val="20"/>
        </w:rPr>
        <w:t>. 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such date, the board of directors of the corporation approved either the business combination or the transaction that resulted in the stockholder becoming an interested stockholder;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consummation of the transaction that resulted in the stockholder becoming an interested stockholder, the interested stockholder owned at least 85% of the voting stock of the corporation outstanding at the time the transaction began, excluding for purposes of determining the number of shares outstanding those shares owned by persons who are directors and also officers and by employee stock plans in which employee participants do not have the right to determine confidentially whether shares held subject to the plan will be tendered in a tender or exchange offer;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such date, the business combination is approved by the board of directors and authorized at an annual or special meeting of the stockholders, and not by written consent, by the affirmative vote of at least 66-2/3% of the outstanding voting stock that is not owned by the interested stockholder.</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defines “business combination” to include the following: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merger or consolidation involving the corporation and the interested stockholder;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sale, transfer, pledge or other disposition involving the interested stockholder of assets with a value of 10% or more of either the total assets or all outstanding stock of the corporation;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any transaction that results in the issuance or transfer by the corporation of any stock of the corporation to the interested stockholder;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transaction involving the corporation that has the effect of increasing the proportionate share of the stock or any class or series of the corporation beneficially owned by the interested stockholder;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receipt by the interested stockholder of the benefit of any loans, advances, guarantees, pledges or other financial benefits by or through the corporation.</w:t>
            </w:r>
          </w:p>
        </w:tc>
      </w:tr>
    </w:tbl>
    <w:p>
      <w:pPr>
        <w:pStyle w:val="TextBody"/>
        <w:bidi w:val="0"/>
        <w:spacing w:before="0" w:after="0"/>
        <w:ind w:left="720" w:right="0" w:hanging="36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S-8</w:t>
            </w:r>
          </w:p>
        </w:tc>
      </w:tr>
    </w:tbl>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Section 203 defines “interested stockholder” as an entity or person beneficially owning 15% or more of the outstanding voting stock of the corporation or any entity or person affiliated with or controlling or controlled by such entity or person.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some provisions of our Certificate of Incorporation and Bylaws may be deemed to have an anti-takeover effect and may delay or prevent a tender offer or takeover attempt that a stockholder might consider in its best interest, including those attempts that might result in a premium over the market price for the shares held by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Cumulative Voting</w:t>
      </w:r>
      <w:r>
        <w:rPr>
          <w:rFonts w:ascii="Times New Roman;Times;Serif" w:hAnsi="Times New Roman;Times;Serif"/>
          <w:b w:val="false"/>
          <w:i w:val="false"/>
          <w:caps w:val="false"/>
          <w:smallCaps w:val="false"/>
          <w:sz w:val="20"/>
        </w:rPr>
        <w:t>. Our amended and restated certificate of incorporation expressly denies stockholders the right to cumulative voting in the election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Classified Board of Directors</w:t>
      </w:r>
      <w:r>
        <w:rPr>
          <w:rFonts w:ascii="Times New Roman;Times;Serif" w:hAnsi="Times New Roman;Times;Serif"/>
          <w:b w:val="false"/>
          <w:i w:val="false"/>
          <w:caps w:val="false"/>
          <w:smallCaps w:val="false"/>
          <w:sz w:val="20"/>
        </w:rPr>
        <w:t>. Our board of directors is divided into three classes of directors serving staggered three-year terms. As a result, approximately one-third of the board of directors is elected each year, which has the effect of requiring at least two annual stockholder meetings, instead of one, to replace a majority of the members of the board. These provisions, when coupled with the provision of our Certificate of Incorporation authorizing only the board of directors to fill vacant directorships or increase the size of the board of directors, may deter a stockholder from removing incumbent directors and simultaneously gaining control of the board of directors by filling the vacancies created by such removal with its own nominees. The certificate of incorporation also provides that directors may be removed by stockholders only for cause. Since the board of directors has the power to retain and discharge our officers, these provisions could also make it more difficult for existing stockholders or another party to effect a change in management.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Stockholder Action; Special Meeting of Stockholders</w:t>
      </w:r>
      <w:r>
        <w:rPr>
          <w:rFonts w:ascii="Times New Roman;Times;Serif" w:hAnsi="Times New Roman;Times;Serif"/>
          <w:b w:val="false"/>
          <w:i w:val="false"/>
          <w:caps w:val="false"/>
          <w:smallCaps w:val="false"/>
          <w:sz w:val="20"/>
        </w:rPr>
        <w:t>. Our Certificate of Incorporation and Bylaws do not permit stockholders to act by written consent. They provide that special meetings of our stockholders may be called only by the chairman of our board of directors, our chief executive officer or a majority of our directors. Further, our Certificate of Incorporation provides that the stockholders may amend bylaws adopted by the board of directors or specified provisions of the certificate of incorporation by the affirmative vote of at least 66-2/3% of our capital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Advance Notice Requirements for Stockholder Proposals and Directors Nominations</w:t>
      </w:r>
      <w:r>
        <w:rPr>
          <w:rFonts w:ascii="Times New Roman;Times;Serif" w:hAnsi="Times New Roman;Times;Serif"/>
          <w:b w:val="false"/>
          <w:i w:val="false"/>
          <w:caps w:val="false"/>
          <w:smallCaps w:val="false"/>
          <w:sz w:val="20"/>
        </w:rPr>
        <w:t>. Our Bylaws provide that stockholders seeking to bring business before an annual meeting of stockholders, or to nominate candidates for election as directors at an annual meeting of stockholders, must provide timely notice in writing. To be timely, a stockholder notice must be delivered to or mailed and received at our principal executive offices not more than 120 days or less than 90 days prior to the anniversary date of the immediately preceding annual meeting of stockholders. However, in the event that the annual meeting is called for a date that is not within 30 days before or after such anniversary date, notice by the stockholder in order to be timely must be received not later than the close of business on the 10th day following the date on which notice of the date of the annual meeting was mailed to stockholders or made public, whichever first occurs. Our Bylaws also specify requirements as to the form and content of a stockholder’s notice. These provisions may preclude stockholders from bringing matters before an annual meeting of stockholders or from nominating directors at an annual meeting of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Authorized But Unissued Shares</w:t>
      </w:r>
      <w:r>
        <w:rPr>
          <w:rFonts w:ascii="Times New Roman;Times;Serif" w:hAnsi="Times New Roman;Times;Serif"/>
          <w:b w:val="false"/>
          <w:i w:val="false"/>
          <w:caps w:val="false"/>
          <w:smallCaps w:val="false"/>
          <w:sz w:val="20"/>
        </w:rPr>
        <w:t>. Our authorized but unissued shares of common stock and preferred stock are available for future issuance without stockholder approval. These additional shares may be utilized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Stereotaxis by means of a proxy contest, tender offer, merger or otherwise.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Amendments; Supermajority Vote Requirements</w:t>
      </w:r>
      <w:r>
        <w:rPr>
          <w:rFonts w:ascii="Times New Roman;Times;Serif" w:hAnsi="Times New Roman;Times;Serif"/>
          <w:b w:val="false"/>
          <w:i w:val="false"/>
          <w:caps w:val="false"/>
          <w:smallCaps w:val="false"/>
          <w:sz w:val="20"/>
        </w:rPr>
        <w:t>. The Delaware General Corporation Law provides generally that the affirmative vote of a majority of the shares entitled to vote on any matter is required to amend a corporation’s certificate of incorporation or bylaws, unless either a corporation’s certificate of incorporation or bylaws requires a greater percentage. Our Certificate of Incorporation imposes supermajority vote requirements of 66-2/3% of the voting power of our capital stock in connection with the amendment of certain provisions of our Certificate of Incorporation and Bylaws, including those provisions relating to the classified board of directors, action by written consent and the ability of stockholders to call special meetings.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of Liability and 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provides that we will indemnify our directors and officers, and may indemnify our employees and other agents, to the fullest extent permitted by the General Corporation Law of the State of Delaware. We currently have a directors’ and officers’ liability insurance policy that insures such persons against the costs of defense, settlement or payment of a judgment under certain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Certificate of Incorporation provides that the liability of our directors for monetary damages shall be eliminated to the fullest extent permissible under the General Corporation Law of the State of Delaware. This provision in our Certificate of Incorporation does not eliminate a director’s duty of care, and, in appropriate circumstances, equitable remedies such as an injunction or other forms of non-monetary relief remain available. Each director will continue to be subject to liability for any breach of the director’s duty of loyalty to us, for acts or omissions not in good faith or involving intentional misconduct or knowing violations of law, for acts or omissions that the director believes to be contrary to our best interests or our stockholders, for any transaction from which the director derived an improper personal benefit, for improper transactions between the director and us, and for improper distributions to stockholders and loans to directors and officers. This provision also does not affect a director’s responsibilities under any other laws, such as the federal securities laws or state or federal environmental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and intend to continue to enter into, separate indemnification agreements with each of our directors and officers, which may be broader than the specific indemnification provision contained in the Delaware General Corporation Law. Under these agreements, we are required to indemnify them against all expenses, judgments, fines, settlements and other amounts actually and reasonably incurred, in connection with any actual, or any threatened, proceeding if any of them may be made a party because he or she is or was one of our directors or officers. We are obligated to pay these amounts only if the officer or director acted in good faith and in a manner that he or she reasonably believed to be in or not opposed to our best interests. With respect to any criminal proceeding, we are obligated to pay these amounts only if the officer or director had no reasonable cause to believe that his or her conduct was unlawful. The indemnification agreements also set forth procedures that will apply in the event of a claim for indemnification thereunder.</w:t>
      </w:r>
    </w:p>
    <w:p>
      <w:pPr>
        <w:pStyle w:val="TextBody"/>
        <w:bidi w:val="0"/>
        <w:spacing w:before="0" w:after="0"/>
        <w:ind w:left="0" w:right="0" w:firstLine="36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Da_010"/>
      <w:bookmarkEnd w:id="25"/>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the Sales Agreement with Roth, under which we may offer and sell up to $50 million of shares of our common stock from time to time through Roth acting as agent and/or principal. Sales of shares of our common stock, if any, under this prospectus will be made by any method that is deemed to be an “at-the-market offering” as defined in Rule 415(a)(4) under the Securities Act including sales made directly on or through the NYSE American, the existing trading market for our common stock, sales made to or through a market maker other than on an exchange or otherwise, directly to Roth as principal, in negotiated transactions at market prices prevailing at the time of sale or at prices related to such prevailing market prices, and/or in any other method permitted by law. As our sales agent, Roth will not engage in any transactions that stabilize the price of our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time we wish to issue and sell shares of common stock under the Sales Agreement, we will provide Roth with a placement notice describing the number of shares to be issued, the dates on which such sales may be made, any limitation on the number of shares to be sold in any one day and any minimum price below which sales may not be made. Once we have so instructed Roth, unless Roth declines to accept the terms of such notice, Roth has agreed to use its commercially reasonable efforts consistent with its normal trading and sales practices and applicable state and federal laws, rules and regulations and the rules of the NYSE American to sell such shares up to the amount specified on such terms. The obligations of Roth under the Sales Agreement to sell shares of our common stock are subject to a number of conditions that we must meet. We or Roth may suspend the offering of common stock pursuant to a placement notice upon notice and subject to other conditions.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Sales Agreement, we may, if agreed to by Roth, also sell shares of our common stock to Roth, as principal for its own account, at a price per share and such other terms to be agreed upon at the time of sale. However, Roth has no obligation to agree to purchase shares of our common stock as principal.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settlement of sales of shares between us and Roth is generally anticipated to occur on the first trading day following the date on which the sale was made, or on some other date that is agreed upon by and between us and Roth in connection with a particular transaction, in return for payment of the net proceeds to us. Sales of shares of our common stock as contemplated in this prospectus will be settled through the facilities of The Depository Trust Company or by such other means as we and Roth may agree upon. There is no arrangement for funds to be received in an escrow, trust or similar arrangement.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Roth a commission in cash of up to 3.0% of the aggregate gross proceeds we receive from each sale of shares of our common stock through Roth as our agent. Because there is no minimum offering amount required as a condition to close this offering, the actual total public offering amount, commissions and proceeds to us, if any, are not determinable at this time. In addition, we have agreed to reimburse Roth for certain specified expenses, including the fees and disbursements of its counsel in an amount not to exceed $50,000, in addition to certain ongoing disbursements not to exceed $5,000 per calendar quarter during any quarter in which sales pursuant to the Sales Agreement are made. We estimate that the total expenses for the offering, excluding any commissions or expense reimbursement payable to Roth under the terms of the Sales Agreement, will be approximately $140 ,000. The remaining sale proceeds, after deducting any other transaction fees, will equal our net proceeds from the sale of such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 will provide written confirmation to us following the close of trading on the NYSE American on each day on which shares of common stock are sold under the Sales Agreement. Each confirmation will include the number of shares sold on that day, the aggregate gross proceeds of such sales and the proceeds to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required, we will report at least quarterly the number of shares of common stock sold through Roth under the Sales Agreement, the net proceeds to us and the compensation paid by us to Roth in connection with the sales of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shares of common stock on our behalf, Roth will be deemed to be an “underwriter” within the meaning of the Securities Act, and the compensation of Roth will be deemed to be underwriting commissions or discounts. We have agreed to indemnify Roth against certain civil liabilities, including liabilities under the Securities Act and/or the Exchange Act. We have also agreed to contribute to payments Roth may be required to make in respect of such liabilities.</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S-10</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of shares of our common stock pursuant to this prospectus will terminate upon the earlier of the sale of all of the shares of our common stock provided for in this prospectus or termination of the Sales Agreement, pursuant to its terms, by either Roth or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of the material provisions of the Sales Agreement does not purport to be a complete statement of its terms and conditions. A copy of the Sales Agreement will be incorporated by reference into the registration statement of which this prospectus forms a part.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by Regulation M, Roth will not engage in any market making activities involving our common stock while the offering is ongoing under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 and its affiliates have previously, and may in the future, provide various investment banking, commercial banking, financial advisory and other financial services for us and our affiliates, for which services they have received, and may in the future receive customary fees. In the course of its business, Roth may actively trade our securities for its own account or for the accounts of customers, and, accordingly, Roth may at any time hold long or short positions in such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in electronic format may be made available on a website maintained by Roth, and Roth may distribute this prospectus electronically.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NYSE American under the symbol “STXS”. The transfer agent and registrar for our common stock is Broadridge Corporate Issuer Solutions. Its address is 1342, Brentwood, NY 11717-0718, and its telephone number is (855) 300-4994.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Da_011"/>
      <w:bookmarkEnd w:id="26"/>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shares of common stock offered hereby has been passed upon for us by Bryan Cave Leighton Paisner LLP, St. Louis, Missouri. The sales agent is being represented by The Crone Law Group, P.C., New York, NY in connection with this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Da_012"/>
      <w:bookmarkEnd w:id="27"/>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Ernst &amp; Young LLP, independent registered public accounting firm, has audited our consolidated financial statements and schedule included in our Annual Report on Form 10-K for the year ended December 31, 2025, as set forth in their report, which is incorporated by reference in this prospectus, and elsewhere in the registration statement of which such prospectus form a part. Our financial statements and schedule are incorporated by reference in reliance on Ernst &amp; Young LLP’s report, given on their authority as experts in accounting and auditing.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Da_013"/>
      <w:bookmarkEnd w:id="28"/>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27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quarterly and current reports, proxy statements and other information with the SEC. Our SEC filings are available to the public over the Internet at the SEC’s website at http://www.sec.gov. The SEC’s website contains reports, proxy and information statements and other information regarding issuers, such as us, that file electronically with the SEC.</w:t>
      </w:r>
    </w:p>
    <w:p>
      <w:pPr>
        <w:pStyle w:val="TextBody"/>
        <w:bidi w:val="0"/>
        <w:spacing w:before="0" w:after="0"/>
        <w:ind w:left="0" w:right="0" w:firstLine="270"/>
        <w:jc w:val="both"/>
        <w:rPr>
          <w:caps w:val="false"/>
          <w:smallCaps w:val="false"/>
        </w:rPr>
      </w:pPr>
      <w:r>
        <w:rPr>
          <w:caps w:val="false"/>
          <w:smallCaps w:val="false"/>
        </w:rPr>
        <w:t> </w:t>
      </w:r>
    </w:p>
    <w:p>
      <w:pPr>
        <w:pStyle w:val="TextBody"/>
        <w:bidi w:val="0"/>
        <w:spacing w:before="0" w:after="0"/>
        <w:ind w:left="0" w:right="0" w:firstLine="27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under the Securities Act that registers the distribution of these shares of common stock. The registration statement, including the attached exhibits and schedules, contains additional relevant information about us and such shares. This prospectus does not contain all of the information set forth in the registration statement. The registration statement and the documents referred to below under “Incorporation of Certain Documents by Reference” are also available on our Internet website, http://www.stereotaxis.com, under “Investors—SEC Filings.” We have not incorporated by reference into this prospectus, or the registration statement of which they form a part, the information on our website, and you should not consider it to be a part of this prospectus.</w:t>
      </w:r>
    </w:p>
    <w:p>
      <w:pPr>
        <w:pStyle w:val="TextBody"/>
        <w:bidi w:val="0"/>
        <w:spacing w:before="0" w:after="0"/>
        <w:ind w:left="0" w:right="0" w:firstLine="27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Da_014"/>
      <w:bookmarkEnd w:id="29"/>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we have filed with the SEC under the Securities Act. The registration statement, including the attached exhibits and schedules, contains additional relevant information about us and the securities described in this prospectus. The SEC’s rules and regulations allow us to omit certain information included in the registration statement from this prospectus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quarterly and current reports, proxy statements and other information with the SEC. Our SEC filings are available over the Internet at the SEC’s website at http://www.sec.gov. The reports and other information we file with the SEC also are available through our website, www.stereotaxis.com. The information contained on our website does not constitute a part of this prospectus.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“incorporation by reference” into this prospectus of information that we file with the SEC. This permits us to disclose important information to you by referencing these filed documents. Any information referenced this way is considered to be a part of this prospectus and any information filed by us with the SEC subsequent to the date of this prospectus but prior to the completion of the offering will automatically be deemed to update and supersede this information.</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which we filed with the SEC, are incorporated by reference into this prospectus:</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Annual Report on </w:t>
            </w:r>
            <w:hyperlink r:id="rId6">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fiscal year ended December 31, 2025, filed with the SEC on March 12, 2026;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our common stock filed as </w:t>
            </w:r>
            <w:hyperlink r:id="rId7">
              <w:r>
                <w:rPr>
                  <w:rStyle w:val="InternetLink"/>
                  <w:rFonts w:ascii="Times New Roman;Times;Serif" w:hAnsi="Times New Roman;Times;Serif"/>
                  <w:b w:val="false"/>
                  <w:i w:val="false"/>
                  <w:caps w:val="false"/>
                  <w:smallCaps w:val="false"/>
                  <w:sz w:val="20"/>
                </w:rPr>
                <w:t>Exhibit 4.2</w:t>
              </w:r>
            </w:hyperlink>
            <w:r>
              <w:rPr>
                <w:rFonts w:ascii="Times New Roman;Times;Serif" w:hAnsi="Times New Roman;Times;Serif"/>
                <w:b w:val="false"/>
                <w:i w:val="false"/>
                <w:caps w:val="false"/>
                <w:smallCaps w:val="false"/>
                <w:sz w:val="20"/>
              </w:rPr>
              <w:t xml:space="preserve"> to our Annual Report on Form 10-K for the fiscal year ended December 31, 2024, filed with the SEC on March 14, 2025 and any amendment or report filed with the SEC for the purpose of updating the description.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filings made by us with the SEC in accordance with Sections 13(a), 13(c), 14, or 15(d) of the Exchange Act (other than the portions of those made pursuant to Item 2.02 or Item 7.01 of Form 8-K or other information “furnished” to the SEC), after the filing of the initial registration statement (including all such documents that we may file with the SEC after the date the registration statement was initially filed and prior to the effectiveness of the registration statement) and before the filing of a post-effective amendment on and before the termination of the offering, are also incorporated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reports and documents can be accessed free of charge on our website at www.stereotaxis.com, although the information on our website is not incorporated by reference into this prospectus unless specifically stated herein. We will provide without charge to each person, including any beneficial owner, to whom this prospectus is delivered, upon written or oral request, a copy of any or all documents that are incorporated by reference into this prospectus, but not delivered therewith, upon written or oral request, other than exhibits to such unless such exhibits are specifically incorporated by reference into the documents that this prospectus. Please send written requests 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Stereotaxis,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 North Tucker Boulevard, Suite 110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 Louis, Missouri 63101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 678-6100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Investor Relations Department</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143125" cy="7048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8"/>
                    <a:stretch>
                      <a:fillRect/>
                    </a:stretch>
                  </pic:blipFill>
                  <pic:spPr bwMode="auto">
                    <a:xfrm>
                      <a:off x="0" y="0"/>
                      <a:ext cx="2143125" cy="7048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STEREOTAXIS,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Up to $50,000,000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PROSPECTUS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Roth Capital Partners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i w:val="false"/>
          <w:caps w:val="false"/>
          <w:smallCaps w:val="false"/>
          <w:sz w:val="20"/>
        </w:rPr>
        <w:t>,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Other Expenses of Issuances and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costs and expenses, other than underwriting discounts and commissions, payable by Stereotaxis in connection with the issuance and distribution of the securities being registered.</w:t>
      </w:r>
    </w:p>
    <w:p>
      <w:pPr>
        <w:pStyle w:val="TextBody"/>
        <w:bidi w:val="0"/>
        <w:spacing w:before="0" w:after="0"/>
        <w:ind w:left="0" w:right="0" w:hanging="0"/>
        <w:jc w:val="both"/>
        <w:rPr>
          <w:caps w:val="false"/>
          <w:smallCaps w:val="false"/>
        </w:rPr>
      </w:pPr>
      <w:r>
        <w:rPr>
          <w:caps w:val="false"/>
          <w:smallCaps w:val="false"/>
        </w:rPr>
        <w:t> </w:t>
      </w:r>
    </w:p>
    <w:tbl>
      <w:tblPr>
        <w:tblW w:w="3645" w:type="dxa"/>
        <w:jc w:val="center"/>
        <w:tblInd w:w="0" w:type="dxa"/>
        <w:tblLayout w:type="fixed"/>
        <w:tblCellMar>
          <w:top w:w="0" w:type="dxa"/>
          <w:left w:w="0" w:type="dxa"/>
          <w:bottom w:w="0" w:type="dxa"/>
          <w:right w:w="0" w:type="dxa"/>
        </w:tblCellMar>
      </w:tblPr>
      <w:tblGrid>
        <w:gridCol w:w="2600"/>
        <w:gridCol w:w="60"/>
        <w:gridCol w:w="125"/>
        <w:gridCol w:w="785"/>
        <w:gridCol w:w="75"/>
      </w:tblGrid>
      <w:tr>
        <w:trPr/>
        <w:tc>
          <w:tcPr>
            <w:tcW w:w="2600" w:type="dxa"/>
            <w:tcBorders/>
            <w:shd w:fill="CCEEFF" w:val="clear"/>
            <w:vAlign w:val="center"/>
          </w:tcPr>
          <w:p>
            <w:pPr>
              <w:pStyle w:val="TableContents"/>
              <w:bidi w:val="0"/>
              <w:spacing w:before="0" w:after="283"/>
              <w:jc w:val="left"/>
              <w:rPr>
                <w:sz w:val="20"/>
              </w:rPr>
            </w:pPr>
            <w:r>
              <w:rPr>
                <w:sz w:val="20"/>
              </w:rPr>
              <w:t>SEC registration fee(1)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785" w:type="dxa"/>
            <w:tcBorders/>
            <w:shd w:fill="CCEEFF" w:val="clear"/>
            <w:vAlign w:val="center"/>
          </w:tcPr>
          <w:p>
            <w:pPr>
              <w:pStyle w:val="TableContents"/>
              <w:bidi w:val="0"/>
              <w:spacing w:before="0" w:after="283"/>
              <w:jc w:val="right"/>
              <w:rPr>
                <w:sz w:val="20"/>
              </w:rPr>
            </w:pPr>
            <w:r>
              <w:rPr>
                <w:sz w:val="20"/>
              </w:rPr>
              <w:t xml:space="preserve">9,716.81 </w:t>
            </w:r>
          </w:p>
        </w:tc>
        <w:tc>
          <w:tcPr>
            <w:tcW w:w="75"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sz w:val="20"/>
              </w:rPr>
            </w:pPr>
            <w:r>
              <w:rPr>
                <w:sz w:val="20"/>
              </w:rPr>
              <w:t>Legal fees and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sz w:val="20"/>
              </w:rPr>
            </w:pPr>
            <w:r>
              <w:rPr>
                <w:sz w:val="20"/>
              </w:rPr>
              <w:t>*</w:t>
            </w:r>
          </w:p>
        </w:tc>
        <w:tc>
          <w:tcPr>
            <w:tcW w:w="75"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sz w:val="20"/>
              </w:rPr>
            </w:pPr>
            <w:r>
              <w:rPr>
                <w:sz w:val="20"/>
              </w:rPr>
              <w:t>Accounting fees and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sz w:val="20"/>
              </w:rPr>
            </w:pPr>
            <w:r>
              <w:rPr>
                <w:sz w:val="20"/>
              </w:rPr>
              <w:t>*</w:t>
            </w:r>
          </w:p>
        </w:tc>
        <w:tc>
          <w:tcPr>
            <w:tcW w:w="75"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sz w:val="20"/>
              </w:rPr>
            </w:pPr>
            <w:r>
              <w:rPr>
                <w:sz w:val="20"/>
              </w:rPr>
              <w:t>FINRA filing fee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sz w:val="20"/>
              </w:rPr>
            </w:pPr>
            <w:r>
              <w:rPr>
                <w:sz w:val="20"/>
              </w:rPr>
              <w:t>*</w:t>
            </w:r>
          </w:p>
        </w:tc>
        <w:tc>
          <w:tcPr>
            <w:tcW w:w="75"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sz w:val="20"/>
              </w:rPr>
            </w:pPr>
            <w:r>
              <w:rPr>
                <w:sz w:val="20"/>
              </w:rPr>
              <w:t>Transfer agent and registrar fees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sz w:val="20"/>
              </w:rPr>
            </w:pPr>
            <w:r>
              <w:rPr>
                <w:sz w:val="20"/>
              </w:rPr>
              <w:t>*</w:t>
            </w:r>
          </w:p>
        </w:tc>
        <w:tc>
          <w:tcPr>
            <w:tcW w:w="75"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sz w:val="20"/>
              </w:rPr>
            </w:pPr>
            <w:r>
              <w:rPr>
                <w:sz w:val="20"/>
              </w:rPr>
              <w:t>Miscellaneous expenses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75"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sz w:val="20"/>
                <w:u w:val="single"/>
              </w:rPr>
            </w:pPr>
            <w:r>
              <w:rPr>
                <w:sz w:val="20"/>
                <w:u w:val="single"/>
              </w:rPr>
              <w:t>Total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785" w:type="dxa"/>
            <w:tcBorders/>
            <w:shd w:fill="CCEEFF" w:val="clear"/>
            <w:vAlign w:val="center"/>
          </w:tcPr>
          <w:p>
            <w:pPr>
              <w:pStyle w:val="TableContents"/>
              <w:bidi w:val="0"/>
              <w:spacing w:before="0" w:after="283"/>
              <w:jc w:val="right"/>
              <w:rPr>
                <w:sz w:val="20"/>
              </w:rPr>
            </w:pPr>
            <w:r>
              <w:rPr>
                <w:sz w:val="20"/>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This amount excludes a registration fee amount of $8,919.60 associated with $79,639,304 of securities previously registered on the Registration Statement on Form S-3 (File No. 333-272102) and which remain unsold. Pursuant to Rule 415(a)(6) under the Securities Act, the amount of such registration fee associated with the offering of the unsold securities will be carried forward to be applied to the unsold securities registered under this registration statement and no additional filing fee will be due with respect to the unsold securities in connection with the filing of this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securities and number of offerings are indeterminable and the expenses cannot be estimated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Indemnification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provides that, to the fullest extent permitted by the Delaware General Corporation Law as the same exists or may hereafter be amended, our directors shall not be liable to the Company or our stockholders for monetary damages for breach of fiduciary duty as a director. In addition, our amended and restated certificate of incorporation provides that we may, to the fullest extent permitted by law, indemnify any person made or threatened to be made a party to an action, suit or proceeding, whether criminal, civil, administrative or investigative, by reason of the fact that such person or his or her testator or intestate is or was a director, officer or employee of the Company, or any predecessor of the Company, or serves or served at any other enterprise as a director, officer or employee at the request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bylaws provide that the Company shall indemnify our directors and officers to the fullest extent not prohibited by the Delaware General Corporation Law or any other law. We are not required to indemnify any director or officer in connection with a proceeding brought by such director or officer unless (i) such indemnification is expressly required by law; (ii) the proceeding was authorized by our board of directors; or (iii) such indemnification is provided by the Company, in its sole discretion, pursuant to the powers vested in the Company under the Delaware General Corporation Law or any other applicable law. In addition, our amended and restated bylaws provide that the Company may indemnify its employees and other agents as set forth in the Delaware General Corporation Law or any other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entered into separate indemnification agreements with our directors and officers that require us, among other things, to indemnify each of them against certain liabilities that may arise by reason of their status or service with the Company or on behalf of the Company, other than liabilities arising from willful misconduct of a culpable nature. The Company is not required to indemnify under the agreement for (i) actions initiated by the director without the authorization of consent of the board of directors; (ii) actions initiated to enforce the indemnification agreement unless the director is successful; (iii) actions resulting from violations of Section 16 of the Exchange Act in which a final judgment has been rendered against the director; and (iv) actions to enforce any non-compete or non-disclosure provisions of any agreement.</w:t>
      </w:r>
    </w:p>
    <w:p>
      <w:pPr>
        <w:pStyle w:val="TextBody"/>
        <w:bidi w:val="0"/>
        <w:spacing w:before="0" w:after="0"/>
        <w:ind w:left="0" w:right="0" w:firstLine="72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indemnification provided for above provides for reimbursement of all losses of the indemnified party, including expenses, judgment, fines and amounts paid in settlement. The right to indemnification set forth above includes the right for us to pay the expenses (including attorneys’ fees) incurred in defending any such proceeding in advance of its final disposition in certain circumstances.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General Corporation Law provides that indemnification is permissible only when the director, officer, employee, or agent acted in good faith and in a manner reasonably believed to be in or not opposed to the best interests of the corporation, and, with respect to any criminal action or proceeding, had no reasonable cause to believe the conduct was unlawful. The Delaware General Corporation Law also precludes indemnification in respect of any claim, issue, or matter as to which an officer, director, employee, or agent shall have been adjudged to be liable to the corporation unless and only to the extent that the Court of Chancery of the State of Delaware or the court in which such action or suit was brought shall determine that, despite such adjudication of liability, but in view of all the circumstances of the case, such person is fairly and reasonably entitled to indemnity for such expenses which the Court of Chancery or such other court deems proper.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indemnify the underwriters and their controlling persons, and the underwriters have agreed to indemnify us and our controlling persons, against certain liabilities, including liabilities under the Securities Act. Reference is made to the Underwriting Agreement filed as part of the exhibits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17 for information regarding our undertaking to submit to adjudication the issue of indemnification for violation of the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Stereotaxis maintains insurance policies that provide coverage to its directors and officers against certain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 and Financial Statement Schedules.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exhibits listed below are incorporated herein by reference.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19"/>
        <w:gridCol w:w="60"/>
        <w:gridCol w:w="9126"/>
      </w:tblGrid>
      <w:tr>
        <w:trPr/>
        <w:tc>
          <w:tcPr>
            <w:tcW w:w="1019" w:type="dxa"/>
            <w:tcBorders>
              <w:bottom w:val="single" w:sz="8" w:space="0" w:color="000000"/>
            </w:tcBorders>
            <w:vAlign w:val="center"/>
          </w:tcPr>
          <w:p>
            <w:pPr>
              <w:pStyle w:val="TableContents"/>
              <w:bidi w:val="0"/>
              <w:spacing w:before="0" w:after="283"/>
              <w:jc w:val="left"/>
              <w:rPr>
                <w:b/>
                <w:sz w:val="20"/>
              </w:rPr>
            </w:pPr>
            <w:r>
              <w:rPr>
                <w:b/>
                <w:sz w:val="20"/>
              </w:rPr>
              <w:t>Exhibit Number</w:t>
            </w:r>
          </w:p>
        </w:tc>
        <w:tc>
          <w:tcPr>
            <w:tcW w:w="60" w:type="dxa"/>
            <w:tcBorders/>
            <w:tcMar>
              <w:bottom w:w="0" w:type="dxa"/>
            </w:tcMar>
            <w:vAlign w:val="center"/>
          </w:tcPr>
          <w:p>
            <w:pPr>
              <w:pStyle w:val="TableContents"/>
              <w:bidi w:val="0"/>
              <w:spacing w:before="0" w:after="283"/>
              <w:jc w:val="left"/>
              <w:rPr/>
            </w:pPr>
            <w:r>
              <w:rPr/>
              <w:t> </w:t>
            </w:r>
          </w:p>
        </w:tc>
        <w:tc>
          <w:tcPr>
            <w:tcW w:w="9126" w:type="dxa"/>
            <w:tcBorders>
              <w:bottom w:val="single" w:sz="8" w:space="0" w:color="000000"/>
            </w:tcBorders>
            <w:vAlign w:val="center"/>
          </w:tcPr>
          <w:p>
            <w:pPr>
              <w:pStyle w:val="TableContents"/>
              <w:bidi w:val="0"/>
              <w:spacing w:before="0" w:after="283"/>
              <w:jc w:val="left"/>
              <w:rPr>
                <w:b/>
                <w:sz w:val="20"/>
              </w:rPr>
            </w:pPr>
            <w:r>
              <w:rPr>
                <w:b/>
                <w:sz w:val="20"/>
              </w:rPr>
              <w:t>Document Description</w:t>
            </w:r>
          </w:p>
        </w:tc>
      </w:tr>
      <w:tr>
        <w:trPr/>
        <w:tc>
          <w:tcPr>
            <w:tcW w:w="1019" w:type="dxa"/>
            <w:tcBorders/>
            <w:tcMar>
              <w:bottom w:w="0" w:type="dxa"/>
            </w:tcMar>
            <w:vAlign w:val="center"/>
          </w:tcPr>
          <w:p>
            <w:pPr>
              <w:pStyle w:val="TableContents"/>
              <w:bidi w:val="0"/>
              <w:spacing w:before="0" w:after="283"/>
              <w:jc w:val="left"/>
              <w:rPr>
                <w:sz w:val="20"/>
              </w:rPr>
            </w:pPr>
            <w:r>
              <w:rPr>
                <w:sz w:val="20"/>
              </w:rPr>
              <w:t>1.1</w:t>
            </w:r>
          </w:p>
        </w:tc>
        <w:tc>
          <w:tcPr>
            <w:tcW w:w="60" w:type="dxa"/>
            <w:tcBorders/>
            <w:tcMar>
              <w:bottom w:w="0" w:type="dxa"/>
            </w:tcMar>
            <w:vAlign w:val="center"/>
          </w:tcPr>
          <w:p>
            <w:pPr>
              <w:pStyle w:val="TableContents"/>
              <w:bidi w:val="0"/>
              <w:spacing w:before="0" w:after="283"/>
              <w:jc w:val="left"/>
              <w:rPr/>
            </w:pPr>
            <w:r>
              <w:rPr/>
              <w:t> </w:t>
            </w:r>
          </w:p>
        </w:tc>
        <w:tc>
          <w:tcPr>
            <w:tcW w:w="9126" w:type="dxa"/>
            <w:tcBorders/>
            <w:tcMar>
              <w:bottom w:w="0" w:type="dxa"/>
            </w:tcMar>
            <w:vAlign w:val="center"/>
          </w:tcPr>
          <w:p>
            <w:pPr>
              <w:pStyle w:val="TableContents"/>
              <w:bidi w:val="0"/>
              <w:spacing w:before="0" w:after="283"/>
              <w:jc w:val="both"/>
              <w:rPr>
                <w:sz w:val="20"/>
              </w:rPr>
            </w:pPr>
            <w:r>
              <w:rPr>
                <w:sz w:val="20"/>
              </w:rPr>
              <w:t>Form of Underwriting Agreement*</w:t>
            </w:r>
          </w:p>
        </w:tc>
      </w:tr>
      <w:tr>
        <w:trPr/>
        <w:tc>
          <w:tcPr>
            <w:tcW w:w="1019" w:type="dxa"/>
            <w:tcBorders/>
            <w:tcMar>
              <w:bottom w:w="0" w:type="dxa"/>
            </w:tcMar>
            <w:vAlign w:val="center"/>
          </w:tcPr>
          <w:p>
            <w:pPr>
              <w:pStyle w:val="TableContents"/>
              <w:bidi w:val="0"/>
              <w:spacing w:before="0" w:after="283"/>
              <w:jc w:val="left"/>
              <w:rPr>
                <w:sz w:val="20"/>
              </w:rPr>
            </w:pPr>
            <w:r>
              <w:rPr>
                <w:sz w:val="20"/>
              </w:rPr>
              <w:t>1.2</w:t>
            </w:r>
          </w:p>
        </w:tc>
        <w:tc>
          <w:tcPr>
            <w:tcW w:w="60" w:type="dxa"/>
            <w:tcBorders/>
            <w:tcMar>
              <w:bottom w:w="0" w:type="dxa"/>
            </w:tcMar>
            <w:vAlign w:val="center"/>
          </w:tcPr>
          <w:p>
            <w:pPr>
              <w:pStyle w:val="TableContents"/>
              <w:bidi w:val="0"/>
              <w:spacing w:before="0" w:after="283"/>
              <w:jc w:val="left"/>
              <w:rPr/>
            </w:pPr>
            <w:r>
              <w:rPr/>
              <w:t> </w:t>
            </w:r>
          </w:p>
        </w:tc>
        <w:tc>
          <w:tcPr>
            <w:tcW w:w="9126" w:type="dxa"/>
            <w:tcBorders/>
            <w:tcMar>
              <w:bottom w:w="0" w:type="dxa"/>
            </w:tcMar>
            <w:vAlign w:val="center"/>
          </w:tcPr>
          <w:p>
            <w:pPr>
              <w:pStyle w:val="TableContents"/>
              <w:bidi w:val="0"/>
              <w:spacing w:before="0" w:after="283"/>
              <w:jc w:val="both"/>
              <w:rPr/>
            </w:pPr>
            <w:hyperlink r:id="rId9">
              <w:r>
                <w:rPr>
                  <w:rStyle w:val="InternetLink"/>
                  <w:sz w:val="20"/>
                </w:rPr>
                <w:t>Sales Agreement, dated as of August 29, 2025, between the Company and Roth Capital Partners, LLC, incorporated by referenced to Exhibit 1.1 of the Registrant’s Current Report on Form 8-K (File No. 001-36159) filed on August 29, 2025.</w:t>
              </w:r>
            </w:hyperlink>
          </w:p>
        </w:tc>
      </w:tr>
      <w:tr>
        <w:trPr/>
        <w:tc>
          <w:tcPr>
            <w:tcW w:w="1019" w:type="dxa"/>
            <w:tcBorders/>
            <w:tcMar>
              <w:bottom w:w="0" w:type="dxa"/>
            </w:tcMar>
            <w:vAlign w:val="center"/>
          </w:tcPr>
          <w:p>
            <w:pPr>
              <w:pStyle w:val="TableContents"/>
              <w:bidi w:val="0"/>
              <w:spacing w:before="0" w:after="283"/>
              <w:jc w:val="left"/>
              <w:rPr>
                <w:sz w:val="20"/>
              </w:rPr>
            </w:pPr>
            <w:r>
              <w:rPr>
                <w:sz w:val="20"/>
              </w:rPr>
              <w:t>1.3</w:t>
            </w:r>
          </w:p>
        </w:tc>
        <w:tc>
          <w:tcPr>
            <w:tcW w:w="60" w:type="dxa"/>
            <w:tcBorders/>
            <w:tcMar>
              <w:bottom w:w="0" w:type="dxa"/>
            </w:tcMar>
            <w:vAlign w:val="center"/>
          </w:tcPr>
          <w:p>
            <w:pPr>
              <w:pStyle w:val="TableContents"/>
              <w:bidi w:val="0"/>
              <w:spacing w:before="0" w:after="283"/>
              <w:jc w:val="left"/>
              <w:rPr/>
            </w:pPr>
            <w:r>
              <w:rPr/>
              <w:t> </w:t>
            </w:r>
          </w:p>
        </w:tc>
        <w:tc>
          <w:tcPr>
            <w:tcW w:w="9126" w:type="dxa"/>
            <w:tcBorders/>
            <w:tcMar>
              <w:bottom w:w="0" w:type="dxa"/>
            </w:tcMar>
            <w:vAlign w:val="center"/>
          </w:tcPr>
          <w:p>
            <w:pPr>
              <w:pStyle w:val="TableContents"/>
              <w:bidi w:val="0"/>
              <w:spacing w:before="0" w:after="283"/>
              <w:jc w:val="both"/>
              <w:rPr/>
            </w:pPr>
            <w:hyperlink w:anchor="ex1-3.htm">
              <w:r>
                <w:rPr>
                  <w:rStyle w:val="InternetLink"/>
                  <w:sz w:val="20"/>
                </w:rPr>
                <w:t>Amendment No. 1 to Sales Agreement by and between the Company and Roth Capital Partners, LLC***</w:t>
              </w:r>
            </w:hyperlink>
          </w:p>
        </w:tc>
      </w:tr>
      <w:tr>
        <w:trPr/>
        <w:tc>
          <w:tcPr>
            <w:tcW w:w="1019" w:type="dxa"/>
            <w:tcBorders/>
            <w:tcMar>
              <w:bottom w:w="0" w:type="dxa"/>
            </w:tcMar>
            <w:vAlign w:val="center"/>
          </w:tcPr>
          <w:p>
            <w:pPr>
              <w:pStyle w:val="TableContents"/>
              <w:bidi w:val="0"/>
              <w:spacing w:before="0" w:after="283"/>
              <w:jc w:val="left"/>
              <w:rPr>
                <w:sz w:val="20"/>
              </w:rPr>
            </w:pPr>
            <w:r>
              <w:rPr>
                <w:sz w:val="20"/>
              </w:rPr>
              <w:t>3.1</w:t>
            </w:r>
          </w:p>
        </w:tc>
        <w:tc>
          <w:tcPr>
            <w:tcW w:w="60" w:type="dxa"/>
            <w:tcBorders/>
            <w:tcMar>
              <w:bottom w:w="0" w:type="dxa"/>
            </w:tcMar>
            <w:vAlign w:val="center"/>
          </w:tcPr>
          <w:p>
            <w:pPr>
              <w:pStyle w:val="TableContents"/>
              <w:bidi w:val="0"/>
              <w:spacing w:before="0" w:after="283"/>
              <w:jc w:val="left"/>
              <w:rPr/>
            </w:pPr>
            <w:r>
              <w:rPr/>
              <w:t> </w:t>
            </w:r>
          </w:p>
        </w:tc>
        <w:tc>
          <w:tcPr>
            <w:tcW w:w="9126" w:type="dxa"/>
            <w:tcBorders/>
            <w:tcMar>
              <w:bottom w:w="0" w:type="dxa"/>
            </w:tcMar>
            <w:vAlign w:val="center"/>
          </w:tcPr>
          <w:p>
            <w:pPr>
              <w:pStyle w:val="TableContents"/>
              <w:bidi w:val="0"/>
              <w:spacing w:before="0" w:after="283"/>
              <w:jc w:val="both"/>
              <w:rPr/>
            </w:pPr>
            <w:hyperlink r:id="rId10">
              <w:r>
                <w:rPr>
                  <w:rStyle w:val="InternetLink"/>
                  <w:sz w:val="20"/>
                </w:rPr>
                <w:t>Amended and Restated Certificate of Incorporation of Stereotaxis, incorporated by reference to Exhibit 3.1 of Stereotaxis’ Form 10-Q (File No. 000-50884) for the fiscal quarter ended September 30, 2004</w:t>
              </w:r>
            </w:hyperlink>
          </w:p>
        </w:tc>
      </w:tr>
      <w:tr>
        <w:trPr/>
        <w:tc>
          <w:tcPr>
            <w:tcW w:w="1019" w:type="dxa"/>
            <w:tcBorders/>
            <w:tcMar>
              <w:bottom w:w="0" w:type="dxa"/>
            </w:tcMar>
            <w:vAlign w:val="center"/>
          </w:tcPr>
          <w:p>
            <w:pPr>
              <w:pStyle w:val="TableContents"/>
              <w:bidi w:val="0"/>
              <w:spacing w:before="0" w:after="283"/>
              <w:jc w:val="left"/>
              <w:rPr>
                <w:sz w:val="20"/>
              </w:rPr>
            </w:pPr>
            <w:r>
              <w:rPr>
                <w:sz w:val="20"/>
              </w:rPr>
              <w:t>3.2</w:t>
            </w:r>
          </w:p>
        </w:tc>
        <w:tc>
          <w:tcPr>
            <w:tcW w:w="60" w:type="dxa"/>
            <w:tcBorders/>
            <w:tcMar>
              <w:bottom w:w="0" w:type="dxa"/>
            </w:tcMar>
            <w:vAlign w:val="center"/>
          </w:tcPr>
          <w:p>
            <w:pPr>
              <w:pStyle w:val="TableContents"/>
              <w:bidi w:val="0"/>
              <w:spacing w:before="0" w:after="283"/>
              <w:jc w:val="left"/>
              <w:rPr/>
            </w:pPr>
            <w:r>
              <w:rPr/>
              <w:t> </w:t>
            </w:r>
          </w:p>
        </w:tc>
        <w:tc>
          <w:tcPr>
            <w:tcW w:w="9126" w:type="dxa"/>
            <w:tcBorders/>
            <w:tcMar>
              <w:bottom w:w="0" w:type="dxa"/>
            </w:tcMar>
            <w:vAlign w:val="center"/>
          </w:tcPr>
          <w:p>
            <w:pPr>
              <w:pStyle w:val="TableContents"/>
              <w:bidi w:val="0"/>
              <w:spacing w:before="0" w:after="283"/>
              <w:jc w:val="both"/>
              <w:rPr/>
            </w:pPr>
            <w:hyperlink r:id="rId11">
              <w:r>
                <w:rPr>
                  <w:rStyle w:val="InternetLink"/>
                  <w:sz w:val="20"/>
                </w:rPr>
                <w:t>Certificate of Amendment to Amended and Restated Certificate of Incorporation, incorporated by reference to Exhibit 3.1 of Stereotaxis’ Form 8-K (File No. 000-50884) filed on July 10, 2012</w:t>
              </w:r>
            </w:hyperlink>
          </w:p>
        </w:tc>
      </w:tr>
      <w:tr>
        <w:trPr/>
        <w:tc>
          <w:tcPr>
            <w:tcW w:w="1019" w:type="dxa"/>
            <w:tcBorders/>
            <w:tcMar>
              <w:bottom w:w="0" w:type="dxa"/>
            </w:tcMar>
            <w:vAlign w:val="center"/>
          </w:tcPr>
          <w:p>
            <w:pPr>
              <w:pStyle w:val="TableContents"/>
              <w:bidi w:val="0"/>
              <w:spacing w:before="0" w:after="283"/>
              <w:jc w:val="left"/>
              <w:rPr>
                <w:sz w:val="20"/>
              </w:rPr>
            </w:pPr>
            <w:r>
              <w:rPr>
                <w:sz w:val="20"/>
              </w:rPr>
              <w:t>3.3</w:t>
            </w:r>
          </w:p>
        </w:tc>
        <w:tc>
          <w:tcPr>
            <w:tcW w:w="60" w:type="dxa"/>
            <w:tcBorders/>
            <w:tcMar>
              <w:bottom w:w="0" w:type="dxa"/>
            </w:tcMar>
            <w:vAlign w:val="center"/>
          </w:tcPr>
          <w:p>
            <w:pPr>
              <w:pStyle w:val="TableContents"/>
              <w:bidi w:val="0"/>
              <w:spacing w:before="0" w:after="283"/>
              <w:jc w:val="left"/>
              <w:rPr/>
            </w:pPr>
            <w:r>
              <w:rPr/>
              <w:t> </w:t>
            </w:r>
          </w:p>
        </w:tc>
        <w:tc>
          <w:tcPr>
            <w:tcW w:w="9126" w:type="dxa"/>
            <w:tcBorders/>
            <w:tcMar>
              <w:bottom w:w="0" w:type="dxa"/>
            </w:tcMar>
            <w:vAlign w:val="center"/>
          </w:tcPr>
          <w:p>
            <w:pPr>
              <w:pStyle w:val="TableContents"/>
              <w:bidi w:val="0"/>
              <w:spacing w:before="0" w:after="283"/>
              <w:jc w:val="both"/>
              <w:rPr/>
            </w:pPr>
            <w:hyperlink r:id="rId12">
              <w:r>
                <w:rPr>
                  <w:rStyle w:val="InternetLink"/>
                  <w:sz w:val="20"/>
                </w:rPr>
                <w:t>Certificate of Designations, Preferences and Rights of Series A Convertible Preferred Stock, incorporated by reference to Exhibit 3.1 of the Registrant’s Form 8-K (File No. 001-36159) filed on September 30, 2016.</w:t>
              </w:r>
            </w:hyperlink>
          </w:p>
        </w:tc>
      </w:tr>
      <w:tr>
        <w:trPr/>
        <w:tc>
          <w:tcPr>
            <w:tcW w:w="1019" w:type="dxa"/>
            <w:tcBorders/>
            <w:tcMar>
              <w:bottom w:w="0" w:type="dxa"/>
            </w:tcMar>
            <w:vAlign w:val="center"/>
          </w:tcPr>
          <w:p>
            <w:pPr>
              <w:pStyle w:val="TableContents"/>
              <w:bidi w:val="0"/>
              <w:spacing w:before="0" w:after="283"/>
              <w:jc w:val="left"/>
              <w:rPr>
                <w:sz w:val="20"/>
              </w:rPr>
            </w:pPr>
            <w:r>
              <w:rPr>
                <w:sz w:val="20"/>
              </w:rPr>
              <w:t>3.4</w:t>
            </w:r>
          </w:p>
        </w:tc>
        <w:tc>
          <w:tcPr>
            <w:tcW w:w="60" w:type="dxa"/>
            <w:tcBorders/>
            <w:tcMar>
              <w:bottom w:w="0" w:type="dxa"/>
            </w:tcMar>
            <w:vAlign w:val="center"/>
          </w:tcPr>
          <w:p>
            <w:pPr>
              <w:pStyle w:val="TableContents"/>
              <w:bidi w:val="0"/>
              <w:spacing w:before="0" w:after="283"/>
              <w:jc w:val="left"/>
              <w:rPr/>
            </w:pPr>
            <w:r>
              <w:rPr/>
              <w:t> </w:t>
            </w:r>
          </w:p>
        </w:tc>
        <w:tc>
          <w:tcPr>
            <w:tcW w:w="9126" w:type="dxa"/>
            <w:tcBorders/>
            <w:tcMar>
              <w:bottom w:w="0" w:type="dxa"/>
            </w:tcMar>
            <w:vAlign w:val="center"/>
          </w:tcPr>
          <w:p>
            <w:pPr>
              <w:pStyle w:val="TableContents"/>
              <w:bidi w:val="0"/>
              <w:spacing w:before="0" w:after="283"/>
              <w:jc w:val="both"/>
              <w:rPr/>
            </w:pPr>
            <w:hyperlink r:id="rId13">
              <w:r>
                <w:rPr>
                  <w:rStyle w:val="InternetLink"/>
                  <w:sz w:val="20"/>
                </w:rPr>
                <w:t>Restated Bylaws of Stereotaxis, incorporated by reference to Exhibit 3.2 of Stereotaxis’ Form 10-Q (File No. 000-50884) for the fiscal quarter ended September 30, 2004</w:t>
              </w:r>
            </w:hyperlink>
          </w:p>
        </w:tc>
      </w:tr>
      <w:tr>
        <w:trPr/>
        <w:tc>
          <w:tcPr>
            <w:tcW w:w="1019" w:type="dxa"/>
            <w:tcBorders/>
            <w:tcMar>
              <w:bottom w:w="0" w:type="dxa"/>
            </w:tcMar>
            <w:vAlign w:val="center"/>
          </w:tcPr>
          <w:p>
            <w:pPr>
              <w:pStyle w:val="TableContents"/>
              <w:bidi w:val="0"/>
              <w:spacing w:before="0" w:after="283"/>
              <w:jc w:val="left"/>
              <w:rPr>
                <w:sz w:val="20"/>
              </w:rPr>
            </w:pPr>
            <w:r>
              <w:rPr>
                <w:sz w:val="20"/>
              </w:rPr>
              <w:t>4.1</w:t>
            </w:r>
          </w:p>
        </w:tc>
        <w:tc>
          <w:tcPr>
            <w:tcW w:w="60" w:type="dxa"/>
            <w:tcBorders/>
            <w:tcMar>
              <w:bottom w:w="0" w:type="dxa"/>
            </w:tcMar>
            <w:vAlign w:val="center"/>
          </w:tcPr>
          <w:p>
            <w:pPr>
              <w:pStyle w:val="TableContents"/>
              <w:bidi w:val="0"/>
              <w:spacing w:before="0" w:after="283"/>
              <w:jc w:val="left"/>
              <w:rPr/>
            </w:pPr>
            <w:r>
              <w:rPr/>
              <w:t> </w:t>
            </w:r>
          </w:p>
        </w:tc>
        <w:tc>
          <w:tcPr>
            <w:tcW w:w="9126" w:type="dxa"/>
            <w:tcBorders/>
            <w:tcMar>
              <w:bottom w:w="0" w:type="dxa"/>
            </w:tcMar>
            <w:vAlign w:val="center"/>
          </w:tcPr>
          <w:p>
            <w:pPr>
              <w:pStyle w:val="TableContents"/>
              <w:bidi w:val="0"/>
              <w:spacing w:before="0" w:after="283"/>
              <w:jc w:val="both"/>
              <w:rPr/>
            </w:pPr>
            <w:hyperlink r:id="rId14">
              <w:r>
                <w:rPr>
                  <w:rStyle w:val="InternetLink"/>
                  <w:sz w:val="20"/>
                </w:rPr>
                <w:t>Form of Specimen Stock Certificate, incorporated by reference to the Registration Statement on Form S-1/A (File No. 333-115253) originally filed with the Commission on July 26, 2004, as amended thereafter, at Exhibit 4.1.</w:t>
              </w:r>
            </w:hyperlink>
          </w:p>
        </w:tc>
      </w:tr>
      <w:tr>
        <w:trPr/>
        <w:tc>
          <w:tcPr>
            <w:tcW w:w="1019" w:type="dxa"/>
            <w:tcBorders/>
            <w:tcMar>
              <w:bottom w:w="0" w:type="dxa"/>
            </w:tcMar>
            <w:vAlign w:val="center"/>
          </w:tcPr>
          <w:p>
            <w:pPr>
              <w:pStyle w:val="TableContents"/>
              <w:bidi w:val="0"/>
              <w:spacing w:before="0" w:after="283"/>
              <w:jc w:val="left"/>
              <w:rPr>
                <w:sz w:val="20"/>
              </w:rPr>
            </w:pPr>
            <w:r>
              <w:rPr>
                <w:sz w:val="20"/>
              </w:rPr>
              <w:t>4.2</w:t>
            </w:r>
          </w:p>
        </w:tc>
        <w:tc>
          <w:tcPr>
            <w:tcW w:w="60" w:type="dxa"/>
            <w:tcBorders/>
            <w:tcMar>
              <w:bottom w:w="0" w:type="dxa"/>
            </w:tcMar>
            <w:vAlign w:val="center"/>
          </w:tcPr>
          <w:p>
            <w:pPr>
              <w:pStyle w:val="TableContents"/>
              <w:bidi w:val="0"/>
              <w:spacing w:before="0" w:after="283"/>
              <w:jc w:val="left"/>
              <w:rPr/>
            </w:pPr>
            <w:r>
              <w:rPr/>
              <w:t> </w:t>
            </w:r>
          </w:p>
        </w:tc>
        <w:tc>
          <w:tcPr>
            <w:tcW w:w="9126" w:type="dxa"/>
            <w:tcBorders/>
            <w:tcMar>
              <w:bottom w:w="0" w:type="dxa"/>
            </w:tcMar>
            <w:vAlign w:val="center"/>
          </w:tcPr>
          <w:p>
            <w:pPr>
              <w:pStyle w:val="TableContents"/>
              <w:bidi w:val="0"/>
              <w:spacing w:before="0" w:after="283"/>
              <w:jc w:val="both"/>
              <w:rPr/>
            </w:pPr>
            <w:hyperlink r:id="rId15">
              <w:r>
                <w:rPr>
                  <w:rStyle w:val="InternetLink"/>
                  <w:sz w:val="20"/>
                </w:rPr>
                <w:t>Form of Indenture, incorporated by reference to Exhibit 4.2 of the Registrant’s Form Registration Statement on Form S-3 (File No. 333-192606) filed on November 27, 2013.</w:t>
              </w:r>
            </w:hyperlink>
          </w:p>
        </w:tc>
      </w:tr>
      <w:tr>
        <w:trPr/>
        <w:tc>
          <w:tcPr>
            <w:tcW w:w="1019" w:type="dxa"/>
            <w:tcBorders/>
            <w:tcMar>
              <w:bottom w:w="0" w:type="dxa"/>
            </w:tcMar>
            <w:vAlign w:val="center"/>
          </w:tcPr>
          <w:p>
            <w:pPr>
              <w:pStyle w:val="TableContents"/>
              <w:bidi w:val="0"/>
              <w:spacing w:before="0" w:after="283"/>
              <w:jc w:val="left"/>
              <w:rPr>
                <w:sz w:val="20"/>
              </w:rPr>
            </w:pPr>
            <w:r>
              <w:rPr>
                <w:sz w:val="20"/>
              </w:rPr>
              <w:t>4.3</w:t>
            </w:r>
          </w:p>
        </w:tc>
        <w:tc>
          <w:tcPr>
            <w:tcW w:w="60" w:type="dxa"/>
            <w:tcBorders/>
            <w:tcMar>
              <w:bottom w:w="0" w:type="dxa"/>
            </w:tcMar>
            <w:vAlign w:val="center"/>
          </w:tcPr>
          <w:p>
            <w:pPr>
              <w:pStyle w:val="TableContents"/>
              <w:bidi w:val="0"/>
              <w:spacing w:before="0" w:after="283"/>
              <w:jc w:val="left"/>
              <w:rPr/>
            </w:pPr>
            <w:r>
              <w:rPr/>
              <w:t> </w:t>
            </w:r>
          </w:p>
        </w:tc>
        <w:tc>
          <w:tcPr>
            <w:tcW w:w="9126" w:type="dxa"/>
            <w:tcBorders/>
            <w:tcMar>
              <w:bottom w:w="0" w:type="dxa"/>
            </w:tcMar>
            <w:vAlign w:val="center"/>
          </w:tcPr>
          <w:p>
            <w:pPr>
              <w:pStyle w:val="TableContents"/>
              <w:bidi w:val="0"/>
              <w:spacing w:before="0" w:after="283"/>
              <w:jc w:val="both"/>
              <w:rPr>
                <w:sz w:val="20"/>
              </w:rPr>
            </w:pPr>
            <w:r>
              <w:rPr>
                <w:sz w:val="20"/>
              </w:rPr>
              <w:t>Form of Note*</w:t>
            </w:r>
          </w:p>
        </w:tc>
      </w:tr>
      <w:tr>
        <w:trPr/>
        <w:tc>
          <w:tcPr>
            <w:tcW w:w="1019" w:type="dxa"/>
            <w:tcBorders/>
            <w:tcMar>
              <w:bottom w:w="0" w:type="dxa"/>
            </w:tcMar>
            <w:vAlign w:val="center"/>
          </w:tcPr>
          <w:p>
            <w:pPr>
              <w:pStyle w:val="TableContents"/>
              <w:bidi w:val="0"/>
              <w:spacing w:before="0" w:after="283"/>
              <w:jc w:val="left"/>
              <w:rPr>
                <w:sz w:val="20"/>
              </w:rPr>
            </w:pPr>
            <w:r>
              <w:rPr>
                <w:sz w:val="20"/>
              </w:rPr>
              <w:t>4.4</w:t>
            </w:r>
          </w:p>
        </w:tc>
        <w:tc>
          <w:tcPr>
            <w:tcW w:w="60" w:type="dxa"/>
            <w:tcBorders/>
            <w:tcMar>
              <w:bottom w:w="0" w:type="dxa"/>
            </w:tcMar>
            <w:vAlign w:val="center"/>
          </w:tcPr>
          <w:p>
            <w:pPr>
              <w:pStyle w:val="TableContents"/>
              <w:bidi w:val="0"/>
              <w:spacing w:before="0" w:after="283"/>
              <w:jc w:val="left"/>
              <w:rPr/>
            </w:pPr>
            <w:r>
              <w:rPr/>
              <w:t> </w:t>
            </w:r>
          </w:p>
        </w:tc>
        <w:tc>
          <w:tcPr>
            <w:tcW w:w="9126" w:type="dxa"/>
            <w:tcBorders/>
            <w:tcMar>
              <w:bottom w:w="0" w:type="dxa"/>
            </w:tcMar>
            <w:vAlign w:val="center"/>
          </w:tcPr>
          <w:p>
            <w:pPr>
              <w:pStyle w:val="TableContents"/>
              <w:bidi w:val="0"/>
              <w:spacing w:before="0" w:after="283"/>
              <w:jc w:val="both"/>
              <w:rPr>
                <w:sz w:val="20"/>
              </w:rPr>
            </w:pPr>
            <w:r>
              <w:rPr>
                <w:sz w:val="20"/>
              </w:rPr>
              <w:t xml:space="preserve">Form of Warrant Agreement (including form of warrant certificate)* </w:t>
            </w:r>
          </w:p>
        </w:tc>
      </w:tr>
      <w:tr>
        <w:trPr/>
        <w:tc>
          <w:tcPr>
            <w:tcW w:w="1019" w:type="dxa"/>
            <w:tcBorders/>
            <w:tcMar>
              <w:bottom w:w="0" w:type="dxa"/>
            </w:tcMar>
            <w:vAlign w:val="center"/>
          </w:tcPr>
          <w:p>
            <w:pPr>
              <w:pStyle w:val="TableContents"/>
              <w:bidi w:val="0"/>
              <w:spacing w:before="0" w:after="283"/>
              <w:jc w:val="left"/>
              <w:rPr>
                <w:sz w:val="20"/>
              </w:rPr>
            </w:pPr>
            <w:r>
              <w:rPr>
                <w:sz w:val="20"/>
              </w:rPr>
              <w:t>4.5</w:t>
            </w:r>
          </w:p>
        </w:tc>
        <w:tc>
          <w:tcPr>
            <w:tcW w:w="60" w:type="dxa"/>
            <w:tcBorders/>
            <w:tcMar>
              <w:bottom w:w="0" w:type="dxa"/>
            </w:tcMar>
            <w:vAlign w:val="center"/>
          </w:tcPr>
          <w:p>
            <w:pPr>
              <w:pStyle w:val="TableContents"/>
              <w:bidi w:val="0"/>
              <w:spacing w:before="0" w:after="283"/>
              <w:jc w:val="left"/>
              <w:rPr/>
            </w:pPr>
            <w:r>
              <w:rPr/>
              <w:t> </w:t>
            </w:r>
          </w:p>
        </w:tc>
        <w:tc>
          <w:tcPr>
            <w:tcW w:w="9126" w:type="dxa"/>
            <w:tcBorders/>
            <w:tcMar>
              <w:bottom w:w="0" w:type="dxa"/>
            </w:tcMar>
            <w:vAlign w:val="center"/>
          </w:tcPr>
          <w:p>
            <w:pPr>
              <w:pStyle w:val="TableContents"/>
              <w:bidi w:val="0"/>
              <w:spacing w:before="0" w:after="283"/>
              <w:jc w:val="both"/>
              <w:rPr>
                <w:sz w:val="20"/>
              </w:rPr>
            </w:pPr>
            <w:r>
              <w:rPr>
                <w:sz w:val="20"/>
              </w:rPr>
              <w:t>Form of Unit Agreement (including form of unit certificate)*</w:t>
            </w:r>
          </w:p>
        </w:tc>
      </w:tr>
      <w:tr>
        <w:trPr/>
        <w:tc>
          <w:tcPr>
            <w:tcW w:w="1019" w:type="dxa"/>
            <w:tcBorders/>
            <w:tcMar>
              <w:bottom w:w="0" w:type="dxa"/>
            </w:tcMar>
            <w:vAlign w:val="center"/>
          </w:tcPr>
          <w:p>
            <w:pPr>
              <w:pStyle w:val="TableContents"/>
              <w:bidi w:val="0"/>
              <w:spacing w:before="0" w:after="283"/>
              <w:jc w:val="left"/>
              <w:rPr>
                <w:sz w:val="20"/>
              </w:rPr>
            </w:pPr>
            <w:r>
              <w:rPr>
                <w:sz w:val="20"/>
              </w:rPr>
              <w:t>5.1</w:t>
            </w:r>
          </w:p>
        </w:tc>
        <w:tc>
          <w:tcPr>
            <w:tcW w:w="60" w:type="dxa"/>
            <w:tcBorders/>
            <w:tcMar>
              <w:bottom w:w="0" w:type="dxa"/>
            </w:tcMar>
            <w:vAlign w:val="center"/>
          </w:tcPr>
          <w:p>
            <w:pPr>
              <w:pStyle w:val="TableContents"/>
              <w:bidi w:val="0"/>
              <w:spacing w:before="0" w:after="283"/>
              <w:jc w:val="left"/>
              <w:rPr/>
            </w:pPr>
            <w:r>
              <w:rPr/>
              <w:t> </w:t>
            </w:r>
          </w:p>
        </w:tc>
        <w:tc>
          <w:tcPr>
            <w:tcW w:w="9126" w:type="dxa"/>
            <w:tcBorders/>
            <w:tcMar>
              <w:bottom w:w="0" w:type="dxa"/>
            </w:tcMar>
            <w:vAlign w:val="center"/>
          </w:tcPr>
          <w:p>
            <w:pPr>
              <w:pStyle w:val="TableContents"/>
              <w:bidi w:val="0"/>
              <w:spacing w:before="0" w:after="283"/>
              <w:jc w:val="both"/>
              <w:rPr/>
            </w:pPr>
            <w:hyperlink w:anchor="ex5-1.htm">
              <w:r>
                <w:rPr>
                  <w:rStyle w:val="InternetLink"/>
                  <w:sz w:val="20"/>
                </w:rPr>
                <w:t>Opinion of Bryan Cave Leighton Paisner LLP</w:t>
              </w:r>
            </w:hyperlink>
            <w:hyperlink w:anchor="ex5-1.htm">
              <w:r>
                <w:rPr>
                  <w:rStyle w:val="InternetLink"/>
                </w:rPr>
                <w:t>***</w:t>
              </w:r>
            </w:hyperlink>
          </w:p>
        </w:tc>
      </w:tr>
      <w:tr>
        <w:trPr/>
        <w:tc>
          <w:tcPr>
            <w:tcW w:w="1019" w:type="dxa"/>
            <w:tcBorders/>
            <w:tcMar>
              <w:bottom w:w="0" w:type="dxa"/>
            </w:tcMar>
            <w:vAlign w:val="center"/>
          </w:tcPr>
          <w:p>
            <w:pPr>
              <w:pStyle w:val="TableContents"/>
              <w:bidi w:val="0"/>
              <w:spacing w:before="0" w:after="283"/>
              <w:jc w:val="left"/>
              <w:rPr>
                <w:sz w:val="20"/>
              </w:rPr>
            </w:pPr>
            <w:r>
              <w:rPr>
                <w:sz w:val="20"/>
              </w:rPr>
              <w:t>23.1</w:t>
            </w:r>
          </w:p>
        </w:tc>
        <w:tc>
          <w:tcPr>
            <w:tcW w:w="60" w:type="dxa"/>
            <w:tcBorders/>
            <w:tcMar>
              <w:bottom w:w="0" w:type="dxa"/>
            </w:tcMar>
            <w:vAlign w:val="center"/>
          </w:tcPr>
          <w:p>
            <w:pPr>
              <w:pStyle w:val="TableContents"/>
              <w:bidi w:val="0"/>
              <w:spacing w:before="0" w:after="283"/>
              <w:jc w:val="left"/>
              <w:rPr/>
            </w:pPr>
            <w:r>
              <w:rPr/>
              <w:t> </w:t>
            </w:r>
          </w:p>
        </w:tc>
        <w:tc>
          <w:tcPr>
            <w:tcW w:w="9126" w:type="dxa"/>
            <w:tcBorders/>
            <w:tcMar>
              <w:bottom w:w="0" w:type="dxa"/>
            </w:tcMar>
            <w:vAlign w:val="center"/>
          </w:tcPr>
          <w:p>
            <w:pPr>
              <w:pStyle w:val="TableContents"/>
              <w:bidi w:val="0"/>
              <w:spacing w:before="0" w:after="283"/>
              <w:jc w:val="both"/>
              <w:rPr/>
            </w:pPr>
            <w:hyperlink w:anchor="ex23-1.htm">
              <w:r>
                <w:rPr>
                  <w:rStyle w:val="InternetLink"/>
                  <w:sz w:val="20"/>
                </w:rPr>
                <w:t>Consent of Ernst &amp; Young LLP</w:t>
              </w:r>
            </w:hyperlink>
            <w:hyperlink w:anchor="ex23-1.htm">
              <w:r>
                <w:rPr>
                  <w:rStyle w:val="InternetLink"/>
                </w:rPr>
                <w:t>***</w:t>
              </w:r>
            </w:hyperlink>
          </w:p>
        </w:tc>
      </w:tr>
      <w:tr>
        <w:trPr/>
        <w:tc>
          <w:tcPr>
            <w:tcW w:w="1019" w:type="dxa"/>
            <w:tcBorders/>
            <w:tcMar>
              <w:bottom w:w="0" w:type="dxa"/>
            </w:tcMar>
            <w:vAlign w:val="center"/>
          </w:tcPr>
          <w:p>
            <w:pPr>
              <w:pStyle w:val="TableContents"/>
              <w:bidi w:val="0"/>
              <w:spacing w:before="0" w:after="283"/>
              <w:jc w:val="left"/>
              <w:rPr>
                <w:sz w:val="20"/>
              </w:rPr>
            </w:pPr>
            <w:r>
              <w:rPr>
                <w:sz w:val="20"/>
              </w:rPr>
              <w:t>23.2</w:t>
            </w:r>
          </w:p>
        </w:tc>
        <w:tc>
          <w:tcPr>
            <w:tcW w:w="60" w:type="dxa"/>
            <w:tcBorders/>
            <w:tcMar>
              <w:bottom w:w="0" w:type="dxa"/>
            </w:tcMar>
            <w:vAlign w:val="center"/>
          </w:tcPr>
          <w:p>
            <w:pPr>
              <w:pStyle w:val="TableContents"/>
              <w:bidi w:val="0"/>
              <w:spacing w:before="0" w:after="283"/>
              <w:jc w:val="left"/>
              <w:rPr/>
            </w:pPr>
            <w:r>
              <w:rPr/>
              <w:t> </w:t>
            </w:r>
          </w:p>
        </w:tc>
        <w:tc>
          <w:tcPr>
            <w:tcW w:w="9126" w:type="dxa"/>
            <w:tcBorders/>
            <w:tcMar>
              <w:bottom w:w="0" w:type="dxa"/>
            </w:tcMar>
            <w:vAlign w:val="center"/>
          </w:tcPr>
          <w:p>
            <w:pPr>
              <w:pStyle w:val="TableContents"/>
              <w:bidi w:val="0"/>
              <w:spacing w:before="0" w:after="283"/>
              <w:jc w:val="both"/>
              <w:rPr/>
            </w:pPr>
            <w:hyperlink w:anchor="ex5-1.htm">
              <w:r>
                <w:rPr>
                  <w:rStyle w:val="InternetLink"/>
                  <w:sz w:val="20"/>
                </w:rPr>
                <w:t>Consent of Bryan Cave Leighton Paisner LLP (included in Exhibit 5.1)</w:t>
              </w:r>
            </w:hyperlink>
          </w:p>
        </w:tc>
      </w:tr>
      <w:tr>
        <w:trPr/>
        <w:tc>
          <w:tcPr>
            <w:tcW w:w="1019" w:type="dxa"/>
            <w:tcBorders/>
            <w:tcMar>
              <w:bottom w:w="0" w:type="dxa"/>
            </w:tcMar>
            <w:vAlign w:val="center"/>
          </w:tcPr>
          <w:p>
            <w:pPr>
              <w:pStyle w:val="TableContents"/>
              <w:bidi w:val="0"/>
              <w:spacing w:before="0" w:after="283"/>
              <w:jc w:val="left"/>
              <w:rPr>
                <w:sz w:val="20"/>
              </w:rPr>
            </w:pPr>
            <w:r>
              <w:rPr>
                <w:sz w:val="20"/>
              </w:rPr>
              <w:t>24.1</w:t>
            </w:r>
          </w:p>
        </w:tc>
        <w:tc>
          <w:tcPr>
            <w:tcW w:w="60" w:type="dxa"/>
            <w:tcBorders/>
            <w:tcMar>
              <w:bottom w:w="0" w:type="dxa"/>
            </w:tcMar>
            <w:vAlign w:val="center"/>
          </w:tcPr>
          <w:p>
            <w:pPr>
              <w:pStyle w:val="TableContents"/>
              <w:bidi w:val="0"/>
              <w:spacing w:before="0" w:after="283"/>
              <w:jc w:val="left"/>
              <w:rPr/>
            </w:pPr>
            <w:r>
              <w:rPr/>
              <w:t> </w:t>
            </w:r>
          </w:p>
        </w:tc>
        <w:tc>
          <w:tcPr>
            <w:tcW w:w="9126" w:type="dxa"/>
            <w:tcBorders/>
            <w:tcMar>
              <w:bottom w:w="0" w:type="dxa"/>
            </w:tcMar>
            <w:vAlign w:val="center"/>
          </w:tcPr>
          <w:p>
            <w:pPr>
              <w:pStyle w:val="TableContents"/>
              <w:bidi w:val="0"/>
              <w:spacing w:before="0" w:after="283"/>
              <w:jc w:val="both"/>
              <w:rPr/>
            </w:pPr>
            <w:hyperlink w:anchor="poa_001">
              <w:r>
                <w:rPr>
                  <w:rStyle w:val="InternetLink"/>
                  <w:sz w:val="20"/>
                </w:rPr>
                <w:t>Power of Attorney (included on the signature page hereto)</w:t>
              </w:r>
            </w:hyperlink>
          </w:p>
        </w:tc>
      </w:tr>
      <w:tr>
        <w:trPr/>
        <w:tc>
          <w:tcPr>
            <w:tcW w:w="1019" w:type="dxa"/>
            <w:tcBorders/>
            <w:tcMar>
              <w:bottom w:w="0" w:type="dxa"/>
            </w:tcMar>
            <w:vAlign w:val="center"/>
          </w:tcPr>
          <w:p>
            <w:pPr>
              <w:pStyle w:val="TableContents"/>
              <w:bidi w:val="0"/>
              <w:spacing w:before="0" w:after="283"/>
              <w:jc w:val="left"/>
              <w:rPr>
                <w:sz w:val="20"/>
              </w:rPr>
            </w:pPr>
            <w:r>
              <w:rPr>
                <w:sz w:val="20"/>
              </w:rPr>
              <w:t xml:space="preserve">25.1 </w:t>
            </w:r>
          </w:p>
        </w:tc>
        <w:tc>
          <w:tcPr>
            <w:tcW w:w="60" w:type="dxa"/>
            <w:tcBorders/>
            <w:tcMar>
              <w:bottom w:w="0" w:type="dxa"/>
            </w:tcMar>
            <w:vAlign w:val="center"/>
          </w:tcPr>
          <w:p>
            <w:pPr>
              <w:pStyle w:val="TableContents"/>
              <w:bidi w:val="0"/>
              <w:spacing w:before="0" w:after="283"/>
              <w:jc w:val="left"/>
              <w:rPr/>
            </w:pPr>
            <w:r>
              <w:rPr/>
              <w:t> </w:t>
            </w:r>
          </w:p>
        </w:tc>
        <w:tc>
          <w:tcPr>
            <w:tcW w:w="9126" w:type="dxa"/>
            <w:tcBorders/>
            <w:tcMar>
              <w:bottom w:w="0" w:type="dxa"/>
            </w:tcMar>
            <w:vAlign w:val="center"/>
          </w:tcPr>
          <w:p>
            <w:pPr>
              <w:pStyle w:val="TableContents"/>
              <w:bidi w:val="0"/>
              <w:spacing w:before="0" w:after="283"/>
              <w:jc w:val="both"/>
              <w:rPr>
                <w:sz w:val="20"/>
              </w:rPr>
            </w:pPr>
            <w:r>
              <w:rPr>
                <w:sz w:val="20"/>
              </w:rPr>
              <w:t>Statement of Eligibility under the Trust Indenture Act of 1939, as amended, of the Senior Trustee, as Trustee under the Indenture**</w:t>
            </w:r>
          </w:p>
        </w:tc>
      </w:tr>
      <w:tr>
        <w:trPr/>
        <w:tc>
          <w:tcPr>
            <w:tcW w:w="1019" w:type="dxa"/>
            <w:tcBorders/>
            <w:tcMar>
              <w:bottom w:w="0" w:type="dxa"/>
            </w:tcMar>
            <w:vAlign w:val="center"/>
          </w:tcPr>
          <w:p>
            <w:pPr>
              <w:pStyle w:val="TableContents"/>
              <w:bidi w:val="0"/>
              <w:spacing w:before="0" w:after="283"/>
              <w:jc w:val="left"/>
              <w:rPr>
                <w:sz w:val="20"/>
              </w:rPr>
            </w:pPr>
            <w:r>
              <w:rPr>
                <w:sz w:val="20"/>
              </w:rPr>
              <w:t>107</w:t>
            </w:r>
          </w:p>
        </w:tc>
        <w:tc>
          <w:tcPr>
            <w:tcW w:w="60" w:type="dxa"/>
            <w:tcBorders/>
            <w:tcMar>
              <w:bottom w:w="0" w:type="dxa"/>
            </w:tcMar>
            <w:vAlign w:val="center"/>
          </w:tcPr>
          <w:p>
            <w:pPr>
              <w:pStyle w:val="TableContents"/>
              <w:bidi w:val="0"/>
              <w:spacing w:before="0" w:after="283"/>
              <w:jc w:val="left"/>
              <w:rPr/>
            </w:pPr>
            <w:r>
              <w:rPr/>
              <w:t> </w:t>
            </w:r>
          </w:p>
        </w:tc>
        <w:tc>
          <w:tcPr>
            <w:tcW w:w="9126" w:type="dxa"/>
            <w:tcBorders/>
            <w:tcMar>
              <w:bottom w:w="0" w:type="dxa"/>
            </w:tcMar>
            <w:vAlign w:val="center"/>
          </w:tcPr>
          <w:p>
            <w:pPr>
              <w:pStyle w:val="TableContents"/>
              <w:bidi w:val="0"/>
              <w:spacing w:before="0" w:after="283"/>
              <w:jc w:val="both"/>
              <w:rPr/>
            </w:pPr>
            <w:hyperlink w:anchor="ex107.htm">
              <w:r>
                <w:rPr>
                  <w:rStyle w:val="InternetLink"/>
                  <w:sz w:val="20"/>
                </w:rPr>
                <w:t>Filing Fee Table</w:t>
              </w:r>
            </w:hyperlink>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both"/>
              <w:rPr>
                <w:sz w:val="20"/>
              </w:rPr>
            </w:pPr>
            <w:r>
              <w:rPr>
                <w:sz w:val="20"/>
              </w:rPr>
              <w:t>*</w:t>
            </w:r>
          </w:p>
        </w:tc>
        <w:tc>
          <w:tcPr>
            <w:tcW w:w="9936" w:type="dxa"/>
            <w:tcBorders/>
            <w:vAlign w:val="center"/>
          </w:tcPr>
          <w:p>
            <w:pPr>
              <w:pStyle w:val="TableContents"/>
              <w:bidi w:val="0"/>
              <w:spacing w:before="0" w:after="283"/>
              <w:jc w:val="both"/>
              <w:rPr>
                <w:sz w:val="20"/>
              </w:rPr>
            </w:pPr>
            <w:r>
              <w:rPr>
                <w:sz w:val="20"/>
              </w:rPr>
              <w:t xml:space="preserve">Indicates document to be filed by amendment or as an exhibit to a report on Form 8-K, Form 10-Q or Form 10-K pursuant to Item 601 of Regulation S-K and incorporated herein by reference. </w:t>
            </w:r>
          </w:p>
        </w:tc>
      </w:tr>
      <w:tr>
        <w:trPr/>
        <w:tc>
          <w:tcPr>
            <w:tcW w:w="269" w:type="dxa"/>
            <w:tcBorders/>
            <w:vAlign w:val="center"/>
          </w:tcPr>
          <w:p>
            <w:pPr>
              <w:pStyle w:val="TableContents"/>
              <w:bidi w:val="0"/>
              <w:spacing w:before="0" w:after="283"/>
              <w:jc w:val="both"/>
              <w:rPr>
                <w:sz w:val="20"/>
              </w:rPr>
            </w:pPr>
            <w:r>
              <w:rPr>
                <w:sz w:val="20"/>
              </w:rPr>
              <w:t>**</w:t>
            </w:r>
          </w:p>
        </w:tc>
        <w:tc>
          <w:tcPr>
            <w:tcW w:w="9936" w:type="dxa"/>
            <w:tcBorders/>
            <w:vAlign w:val="center"/>
          </w:tcPr>
          <w:p>
            <w:pPr>
              <w:pStyle w:val="TableContents"/>
              <w:bidi w:val="0"/>
              <w:spacing w:before="0" w:after="283"/>
              <w:jc w:val="both"/>
              <w:rPr>
                <w:sz w:val="20"/>
              </w:rPr>
            </w:pPr>
            <w:r>
              <w:rPr>
                <w:sz w:val="20"/>
              </w:rPr>
              <w:t>To be filed separately pursuant to Section 305(b)(2) of the Trust Indenture Act of 1939, as amended.</w:t>
            </w:r>
          </w:p>
        </w:tc>
      </w:tr>
      <w:tr>
        <w:trPr/>
        <w:tc>
          <w:tcPr>
            <w:tcW w:w="269" w:type="dxa"/>
            <w:tcBorders/>
            <w:vAlign w:val="center"/>
          </w:tcPr>
          <w:p>
            <w:pPr>
              <w:pStyle w:val="TableContents"/>
              <w:bidi w:val="0"/>
              <w:spacing w:before="0" w:after="283"/>
              <w:jc w:val="both"/>
              <w:rPr>
                <w:sz w:val="20"/>
              </w:rPr>
            </w:pPr>
            <w:r>
              <w:rPr>
                <w:sz w:val="20"/>
              </w:rPr>
              <w:t>***</w:t>
            </w:r>
          </w:p>
        </w:tc>
        <w:tc>
          <w:tcPr>
            <w:tcW w:w="9936" w:type="dxa"/>
            <w:tcBorders/>
            <w:vAlign w:val="center"/>
          </w:tcPr>
          <w:p>
            <w:pPr>
              <w:pStyle w:val="TableContents"/>
              <w:bidi w:val="0"/>
              <w:spacing w:before="0" w:after="283"/>
              <w:jc w:val="both"/>
              <w:rPr>
                <w:sz w:val="20"/>
              </w:rPr>
            </w:pPr>
            <w:r>
              <w:rPr>
                <w:sz w:val="20"/>
              </w:rPr>
              <w:t>Filed herewith.</w:t>
            </w:r>
          </w:p>
        </w:tc>
      </w:tr>
    </w:tbl>
    <w:p>
      <w:pPr>
        <w:pStyle w:val="TextBody"/>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ind w:left="0" w:right="0" w:hanging="0"/>
        <w:jc w:val="both"/>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245"/>
        <w:gridCol w:w="3845"/>
      </w:tblGrid>
      <w:tr>
        <w:trPr/>
        <w:tc>
          <w:tcPr>
            <w:tcW w:w="245" w:type="dxa"/>
            <w:tcBorders/>
            <w:vAlign w:val="center"/>
          </w:tcPr>
          <w:p>
            <w:pPr>
              <w:pStyle w:val="TableContents"/>
              <w:bidi w:val="0"/>
              <w:spacing w:before="0" w:after="283"/>
              <w:jc w:val="both"/>
              <w:rPr>
                <w:sz w:val="20"/>
              </w:rPr>
            </w:pPr>
            <w:r>
              <w:rPr>
                <w:sz w:val="20"/>
              </w:rPr>
              <w:t>(a)</w:t>
            </w:r>
          </w:p>
        </w:tc>
        <w:tc>
          <w:tcPr>
            <w:tcW w:w="3845" w:type="dxa"/>
            <w:tcBorders/>
            <w:vAlign w:val="center"/>
          </w:tcPr>
          <w:p>
            <w:pPr>
              <w:pStyle w:val="TableContents"/>
              <w:bidi w:val="0"/>
              <w:spacing w:before="0" w:after="283"/>
              <w:jc w:val="both"/>
              <w:rPr>
                <w:sz w:val="20"/>
              </w:rPr>
            </w:pPr>
            <w:r>
              <w:rPr>
                <w:sz w:val="20"/>
              </w:rPr>
              <w:t xml:space="preserve">The undersigned registrant hereby undertakes: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3"/>
        <w:gridCol w:w="9887"/>
      </w:tblGrid>
      <w:tr>
        <w:trPr/>
        <w:tc>
          <w:tcPr>
            <w:tcW w:w="75" w:type="dxa"/>
            <w:tcBorders/>
            <w:vAlign w:val="center"/>
          </w:tcPr>
          <w:p>
            <w:pPr>
              <w:pStyle w:val="TableContents"/>
              <w:bidi w:val="0"/>
              <w:spacing w:before="0" w:after="283"/>
              <w:jc w:val="both"/>
              <w:rPr/>
            </w:pPr>
            <w:r>
              <w:rPr/>
              <w:t> </w:t>
            </w:r>
          </w:p>
        </w:tc>
        <w:tc>
          <w:tcPr>
            <w:tcW w:w="243" w:type="dxa"/>
            <w:tcBorders/>
            <w:vAlign w:val="center"/>
          </w:tcPr>
          <w:p>
            <w:pPr>
              <w:pStyle w:val="TableContents"/>
              <w:bidi w:val="0"/>
              <w:spacing w:before="0" w:after="283"/>
              <w:jc w:val="both"/>
              <w:rPr>
                <w:sz w:val="20"/>
              </w:rPr>
            </w:pPr>
            <w:r>
              <w:rPr>
                <w:sz w:val="20"/>
              </w:rPr>
              <w:t>(1)</w:t>
            </w:r>
          </w:p>
        </w:tc>
        <w:tc>
          <w:tcPr>
            <w:tcW w:w="9887" w:type="dxa"/>
            <w:tcBorders/>
            <w:vAlign w:val="center"/>
          </w:tcPr>
          <w:p>
            <w:pPr>
              <w:pStyle w:val="TableContents"/>
              <w:bidi w:val="0"/>
              <w:spacing w:before="0" w:after="283"/>
              <w:jc w:val="both"/>
              <w:rPr>
                <w:sz w:val="20"/>
              </w:rPr>
            </w:pPr>
            <w:r>
              <w:rPr>
                <w:sz w:val="20"/>
              </w:rPr>
              <w:t xml:space="preserve">To file, during any period in which offers or sales are being made, a post-effective amendment to this registration statement: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7"/>
        <w:gridCol w:w="9863"/>
      </w:tblGrid>
      <w:tr>
        <w:trPr/>
        <w:tc>
          <w:tcPr>
            <w:tcW w:w="75" w:type="dxa"/>
            <w:tcBorders/>
            <w:vAlign w:val="center"/>
          </w:tcPr>
          <w:p>
            <w:pPr>
              <w:pStyle w:val="TableContents"/>
              <w:bidi w:val="0"/>
              <w:spacing w:before="0" w:after="283"/>
              <w:jc w:val="both"/>
              <w:rPr/>
            </w:pPr>
            <w:r>
              <w:rPr/>
              <w:t> </w:t>
            </w:r>
          </w:p>
        </w:tc>
        <w:tc>
          <w:tcPr>
            <w:tcW w:w="267" w:type="dxa"/>
            <w:tcBorders/>
            <w:vAlign w:val="center"/>
          </w:tcPr>
          <w:p>
            <w:pPr>
              <w:pStyle w:val="TableContents"/>
              <w:bidi w:val="0"/>
              <w:spacing w:before="0" w:after="283"/>
              <w:jc w:val="both"/>
              <w:rPr>
                <w:sz w:val="20"/>
              </w:rPr>
            </w:pPr>
            <w:r>
              <w:rPr>
                <w:sz w:val="20"/>
              </w:rPr>
              <w:t>(i)</w:t>
            </w:r>
          </w:p>
        </w:tc>
        <w:tc>
          <w:tcPr>
            <w:tcW w:w="9863" w:type="dxa"/>
            <w:tcBorders/>
            <w:vAlign w:val="center"/>
          </w:tcPr>
          <w:p>
            <w:pPr>
              <w:pStyle w:val="TableContents"/>
              <w:bidi w:val="0"/>
              <w:spacing w:before="0" w:after="283"/>
              <w:jc w:val="both"/>
              <w:rPr>
                <w:sz w:val="20"/>
              </w:rPr>
            </w:pPr>
            <w:r>
              <w:rPr>
                <w:sz w:val="20"/>
              </w:rPr>
              <w:t xml:space="preserve">To include any prospectus required by section 10(a)(3) of the Securities Act of 1933; </w:t>
            </w:r>
          </w:p>
        </w:tc>
      </w:tr>
      <w:tr>
        <w:trPr/>
        <w:tc>
          <w:tcPr>
            <w:tcW w:w="75" w:type="dxa"/>
            <w:tcBorders/>
            <w:vAlign w:val="center"/>
          </w:tcPr>
          <w:p>
            <w:pPr>
              <w:pStyle w:val="TableContents"/>
              <w:bidi w:val="0"/>
              <w:spacing w:before="0" w:after="283"/>
              <w:jc w:val="both"/>
              <w:rPr/>
            </w:pPr>
            <w:r>
              <w:rPr/>
              <w:t> </w:t>
            </w:r>
          </w:p>
        </w:tc>
        <w:tc>
          <w:tcPr>
            <w:tcW w:w="267" w:type="dxa"/>
            <w:tcBorders/>
            <w:vAlign w:val="center"/>
          </w:tcPr>
          <w:p>
            <w:pPr>
              <w:pStyle w:val="TableContents"/>
              <w:bidi w:val="0"/>
              <w:spacing w:before="0" w:after="283"/>
              <w:jc w:val="both"/>
              <w:rPr/>
            </w:pPr>
            <w:r>
              <w:rPr/>
              <w:t> </w:t>
            </w:r>
          </w:p>
        </w:tc>
        <w:tc>
          <w:tcPr>
            <w:tcW w:w="986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67" w:type="dxa"/>
            <w:tcBorders/>
            <w:vAlign w:val="center"/>
          </w:tcPr>
          <w:p>
            <w:pPr>
              <w:pStyle w:val="TableContents"/>
              <w:bidi w:val="0"/>
              <w:spacing w:before="0" w:after="283"/>
              <w:jc w:val="both"/>
              <w:rPr>
                <w:sz w:val="20"/>
              </w:rPr>
            </w:pPr>
            <w:r>
              <w:rPr>
                <w:sz w:val="20"/>
              </w:rPr>
              <w:t>(ii)</w:t>
            </w:r>
          </w:p>
        </w:tc>
        <w:tc>
          <w:tcPr>
            <w:tcW w:w="9863" w:type="dxa"/>
            <w:tcBorders/>
            <w:vAlign w:val="center"/>
          </w:tcPr>
          <w:p>
            <w:pPr>
              <w:pStyle w:val="TableContents"/>
              <w:bidi w:val="0"/>
              <w:spacing w:before="0" w:after="283"/>
              <w:jc w:val="both"/>
              <w:rPr>
                <w:sz w:val="20"/>
              </w:rPr>
            </w:pPr>
            <w:r>
              <w:rPr>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w:t>
            </w:r>
          </w:p>
        </w:tc>
      </w:tr>
      <w:tr>
        <w:trPr/>
        <w:tc>
          <w:tcPr>
            <w:tcW w:w="75" w:type="dxa"/>
            <w:tcBorders/>
            <w:vAlign w:val="center"/>
          </w:tcPr>
          <w:p>
            <w:pPr>
              <w:pStyle w:val="TableContents"/>
              <w:bidi w:val="0"/>
              <w:spacing w:before="0" w:after="283"/>
              <w:jc w:val="both"/>
              <w:rPr/>
            </w:pPr>
            <w:r>
              <w:rPr/>
              <w:t> </w:t>
            </w:r>
          </w:p>
        </w:tc>
        <w:tc>
          <w:tcPr>
            <w:tcW w:w="267" w:type="dxa"/>
            <w:tcBorders/>
            <w:vAlign w:val="center"/>
          </w:tcPr>
          <w:p>
            <w:pPr>
              <w:pStyle w:val="TableContents"/>
              <w:bidi w:val="0"/>
              <w:spacing w:before="0" w:after="283"/>
              <w:jc w:val="both"/>
              <w:rPr/>
            </w:pPr>
            <w:r>
              <w:rPr/>
              <w:t> </w:t>
            </w:r>
          </w:p>
        </w:tc>
        <w:tc>
          <w:tcPr>
            <w:tcW w:w="986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67" w:type="dxa"/>
            <w:tcBorders/>
            <w:vAlign w:val="center"/>
          </w:tcPr>
          <w:p>
            <w:pPr>
              <w:pStyle w:val="TableContents"/>
              <w:bidi w:val="0"/>
              <w:spacing w:before="0" w:after="283"/>
              <w:jc w:val="both"/>
              <w:rPr>
                <w:sz w:val="20"/>
              </w:rPr>
            </w:pPr>
            <w:r>
              <w:rPr>
                <w:sz w:val="20"/>
              </w:rPr>
              <w:t>(iii)</w:t>
            </w:r>
          </w:p>
        </w:tc>
        <w:tc>
          <w:tcPr>
            <w:tcW w:w="9863" w:type="dxa"/>
            <w:tcBorders/>
            <w:vAlign w:val="center"/>
          </w:tcPr>
          <w:p>
            <w:pPr>
              <w:pStyle w:val="TableContents"/>
              <w:bidi w:val="0"/>
              <w:spacing w:before="0" w:after="283"/>
              <w:jc w:val="both"/>
              <w:rPr>
                <w:sz w:val="20"/>
              </w:rPr>
            </w:pPr>
            <w:r>
              <w:rPr>
                <w:sz w:val="20"/>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paragraphs (a)(1)(i), (a)(1)(ii) and (a)(1)(iii) do not apply if the registration statement is on Form S-3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both"/>
              <w:rPr/>
            </w:pPr>
            <w:r>
              <w:rPr/>
              <w:t> </w:t>
            </w:r>
          </w:p>
        </w:tc>
        <w:tc>
          <w:tcPr>
            <w:tcW w:w="206" w:type="dxa"/>
            <w:tcBorders/>
            <w:vAlign w:val="center"/>
          </w:tcPr>
          <w:p>
            <w:pPr>
              <w:pStyle w:val="TableContents"/>
              <w:bidi w:val="0"/>
              <w:spacing w:before="0" w:after="283"/>
              <w:jc w:val="both"/>
              <w:rPr>
                <w:sz w:val="20"/>
              </w:rPr>
            </w:pPr>
            <w:r>
              <w:rPr>
                <w:sz w:val="20"/>
              </w:rPr>
              <w:t>(2)</w:t>
            </w:r>
          </w:p>
        </w:tc>
        <w:tc>
          <w:tcPr>
            <w:tcW w:w="9924" w:type="dxa"/>
            <w:tcBorders/>
            <w:vAlign w:val="center"/>
          </w:tcPr>
          <w:p>
            <w:pPr>
              <w:pStyle w:val="TableContents"/>
              <w:bidi w:val="0"/>
              <w:spacing w:before="0" w:after="283"/>
              <w:jc w:val="both"/>
              <w:rPr>
                <w:sz w:val="20"/>
              </w:rPr>
            </w:pPr>
            <w:r>
              <w:rPr>
                <w:sz w:val="20"/>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tc>
      </w:tr>
      <w:tr>
        <w:trPr/>
        <w:tc>
          <w:tcPr>
            <w:tcW w:w="75" w:type="dxa"/>
            <w:tcBorders/>
            <w:vAlign w:val="center"/>
          </w:tcPr>
          <w:p>
            <w:pPr>
              <w:pStyle w:val="TableContents"/>
              <w:bidi w:val="0"/>
              <w:spacing w:before="0" w:after="283"/>
              <w:jc w:val="both"/>
              <w:rPr/>
            </w:pPr>
            <w:r>
              <w:rPr/>
              <w:t> </w:t>
            </w:r>
          </w:p>
        </w:tc>
        <w:tc>
          <w:tcPr>
            <w:tcW w:w="206" w:type="dxa"/>
            <w:tcBorders/>
            <w:vAlign w:val="center"/>
          </w:tcPr>
          <w:p>
            <w:pPr>
              <w:pStyle w:val="TableContents"/>
              <w:bidi w:val="0"/>
              <w:spacing w:before="0" w:after="283"/>
              <w:jc w:val="both"/>
              <w:rPr/>
            </w:pPr>
            <w:r>
              <w:rPr/>
              <w:t> </w:t>
            </w:r>
          </w:p>
        </w:tc>
        <w:tc>
          <w:tcPr>
            <w:tcW w:w="992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06" w:type="dxa"/>
            <w:tcBorders/>
            <w:vAlign w:val="center"/>
          </w:tcPr>
          <w:p>
            <w:pPr>
              <w:pStyle w:val="TableContents"/>
              <w:bidi w:val="0"/>
              <w:spacing w:before="0" w:after="283"/>
              <w:jc w:val="both"/>
              <w:rPr>
                <w:sz w:val="20"/>
              </w:rPr>
            </w:pPr>
            <w:r>
              <w:rPr>
                <w:sz w:val="20"/>
              </w:rPr>
              <w:t>(3)</w:t>
            </w:r>
          </w:p>
        </w:tc>
        <w:tc>
          <w:tcPr>
            <w:tcW w:w="9924" w:type="dxa"/>
            <w:tcBorders/>
            <w:vAlign w:val="center"/>
          </w:tcPr>
          <w:p>
            <w:pPr>
              <w:pStyle w:val="TableContents"/>
              <w:bidi w:val="0"/>
              <w:spacing w:before="0" w:after="283"/>
              <w:jc w:val="both"/>
              <w:rPr>
                <w:sz w:val="20"/>
              </w:rPr>
            </w:pPr>
            <w:r>
              <w:rPr>
                <w:sz w:val="20"/>
              </w:rPr>
              <w:t xml:space="preserve">To remove from registration by means of a post-effective amendment any of the securities being registered which remain unsold at the termination of the offering. </w:t>
            </w:r>
          </w:p>
        </w:tc>
      </w:tr>
      <w:tr>
        <w:trPr/>
        <w:tc>
          <w:tcPr>
            <w:tcW w:w="75" w:type="dxa"/>
            <w:tcBorders/>
            <w:vAlign w:val="center"/>
          </w:tcPr>
          <w:p>
            <w:pPr>
              <w:pStyle w:val="TableContents"/>
              <w:bidi w:val="0"/>
              <w:spacing w:before="0" w:after="283"/>
              <w:jc w:val="both"/>
              <w:rPr/>
            </w:pPr>
            <w:r>
              <w:rPr/>
              <w:t> </w:t>
            </w:r>
          </w:p>
        </w:tc>
        <w:tc>
          <w:tcPr>
            <w:tcW w:w="206" w:type="dxa"/>
            <w:tcBorders/>
            <w:vAlign w:val="center"/>
          </w:tcPr>
          <w:p>
            <w:pPr>
              <w:pStyle w:val="TableContents"/>
              <w:bidi w:val="0"/>
              <w:spacing w:before="0" w:after="283"/>
              <w:jc w:val="both"/>
              <w:rPr/>
            </w:pPr>
            <w:r>
              <w:rPr/>
              <w:t> </w:t>
            </w:r>
          </w:p>
        </w:tc>
        <w:tc>
          <w:tcPr>
            <w:tcW w:w="992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06" w:type="dxa"/>
            <w:tcBorders/>
            <w:vAlign w:val="center"/>
          </w:tcPr>
          <w:p>
            <w:pPr>
              <w:pStyle w:val="TableContents"/>
              <w:bidi w:val="0"/>
              <w:spacing w:before="0" w:after="283"/>
              <w:jc w:val="both"/>
              <w:rPr>
                <w:sz w:val="20"/>
              </w:rPr>
            </w:pPr>
            <w:r>
              <w:rPr>
                <w:sz w:val="20"/>
              </w:rPr>
              <w:t>(4)</w:t>
            </w:r>
          </w:p>
        </w:tc>
        <w:tc>
          <w:tcPr>
            <w:tcW w:w="9924" w:type="dxa"/>
            <w:tcBorders/>
            <w:vAlign w:val="center"/>
          </w:tcPr>
          <w:p>
            <w:pPr>
              <w:pStyle w:val="TableContents"/>
              <w:bidi w:val="0"/>
              <w:spacing w:before="0" w:after="283"/>
              <w:jc w:val="both"/>
              <w:rPr>
                <w:sz w:val="20"/>
              </w:rPr>
            </w:pPr>
            <w:r>
              <w:rPr>
                <w:sz w:val="20"/>
              </w:rPr>
              <w:t xml:space="preserve">That, for the purpose of determining liability under the Securities Act of 1933 to any purchaser: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1"/>
        <w:gridCol w:w="9959"/>
      </w:tblGrid>
      <w:tr>
        <w:trPr/>
        <w:tc>
          <w:tcPr>
            <w:tcW w:w="75" w:type="dxa"/>
            <w:tcBorders/>
            <w:vAlign w:val="center"/>
          </w:tcPr>
          <w:p>
            <w:pPr>
              <w:pStyle w:val="TableContents"/>
              <w:bidi w:val="0"/>
              <w:spacing w:before="0" w:after="283"/>
              <w:jc w:val="both"/>
              <w:rPr/>
            </w:pPr>
            <w:r>
              <w:rPr/>
              <w:t> </w:t>
            </w:r>
          </w:p>
        </w:tc>
        <w:tc>
          <w:tcPr>
            <w:tcW w:w="171" w:type="dxa"/>
            <w:tcBorders/>
            <w:vAlign w:val="center"/>
          </w:tcPr>
          <w:p>
            <w:pPr>
              <w:pStyle w:val="TableContents"/>
              <w:bidi w:val="0"/>
              <w:spacing w:before="0" w:after="283"/>
              <w:jc w:val="both"/>
              <w:rPr>
                <w:sz w:val="20"/>
              </w:rPr>
            </w:pPr>
            <w:r>
              <w:rPr>
                <w:sz w:val="20"/>
              </w:rPr>
              <w:t>(i)</w:t>
            </w:r>
          </w:p>
        </w:tc>
        <w:tc>
          <w:tcPr>
            <w:tcW w:w="9959" w:type="dxa"/>
            <w:tcBorders/>
            <w:vAlign w:val="center"/>
          </w:tcPr>
          <w:p>
            <w:pPr>
              <w:pStyle w:val="TableContents"/>
              <w:bidi w:val="0"/>
              <w:spacing w:before="0" w:after="283"/>
              <w:jc w:val="both"/>
              <w:rPr>
                <w:sz w:val="20"/>
              </w:rPr>
            </w:pPr>
            <w:r>
              <w:rPr>
                <w:sz w:val="20"/>
              </w:rPr>
              <w:t xml:space="preserve">Each prospectus filed by the registrant pursuant to Rule 424(b)(3) shall be deemed to be part of the registration statement as of the date the filed prospectus was deemed part of and included in the registration statement; and </w:t>
            </w:r>
          </w:p>
        </w:tc>
      </w:tr>
    </w:tbl>
    <w:p>
      <w:pPr>
        <w:pStyle w:val="TextBody"/>
        <w:bidi w:val="0"/>
        <w:spacing w:before="0" w:after="283"/>
        <w:jc w:val="left"/>
        <w:rPr/>
      </w:pPr>
      <w:r>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II-3</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both"/>
              <w:rPr/>
            </w:pPr>
            <w:r>
              <w:rPr/>
              <w:t> </w:t>
            </w:r>
          </w:p>
        </w:tc>
        <w:tc>
          <w:tcPr>
            <w:tcW w:w="204" w:type="dxa"/>
            <w:tcBorders/>
            <w:vAlign w:val="center"/>
          </w:tcPr>
          <w:p>
            <w:pPr>
              <w:pStyle w:val="TableContents"/>
              <w:bidi w:val="0"/>
              <w:spacing w:before="0" w:after="283"/>
              <w:jc w:val="both"/>
              <w:rPr>
                <w:sz w:val="20"/>
              </w:rPr>
            </w:pPr>
            <w:r>
              <w:rPr>
                <w:sz w:val="20"/>
              </w:rPr>
              <w:t>(ii)</w:t>
            </w:r>
          </w:p>
        </w:tc>
        <w:tc>
          <w:tcPr>
            <w:tcW w:w="9926" w:type="dxa"/>
            <w:tcBorders/>
            <w:vAlign w:val="center"/>
          </w:tcPr>
          <w:p>
            <w:pPr>
              <w:pStyle w:val="TableContents"/>
              <w:bidi w:val="0"/>
              <w:spacing w:before="0" w:after="283"/>
              <w:jc w:val="both"/>
              <w:rPr>
                <w:sz w:val="20"/>
              </w:rPr>
            </w:pPr>
            <w:r>
              <w:rPr>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i/>
                <w:sz w:val="20"/>
              </w:rPr>
              <w:t>Provided, however</w:t>
            </w:r>
            <w:r>
              <w:rPr>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both"/>
              <w:rPr/>
            </w:pPr>
            <w:r>
              <w:rPr/>
              <w:t> </w:t>
            </w:r>
          </w:p>
        </w:tc>
        <w:tc>
          <w:tcPr>
            <w:tcW w:w="195" w:type="dxa"/>
            <w:tcBorders/>
            <w:vAlign w:val="center"/>
          </w:tcPr>
          <w:p>
            <w:pPr>
              <w:pStyle w:val="TableContents"/>
              <w:bidi w:val="0"/>
              <w:spacing w:before="0" w:after="283"/>
              <w:jc w:val="both"/>
              <w:rPr>
                <w:sz w:val="20"/>
              </w:rPr>
            </w:pPr>
            <w:r>
              <w:rPr>
                <w:sz w:val="20"/>
              </w:rPr>
              <w:t>(5)</w:t>
            </w:r>
          </w:p>
        </w:tc>
        <w:tc>
          <w:tcPr>
            <w:tcW w:w="9935" w:type="dxa"/>
            <w:tcBorders/>
            <w:vAlign w:val="center"/>
          </w:tcPr>
          <w:p>
            <w:pPr>
              <w:pStyle w:val="TableContents"/>
              <w:bidi w:val="0"/>
              <w:spacing w:before="0" w:after="283"/>
              <w:jc w:val="both"/>
              <w:rPr>
                <w:sz w:val="20"/>
              </w:rPr>
            </w:pPr>
            <w:r>
              <w:rPr>
                <w:sz w:val="20"/>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2"/>
        <w:gridCol w:w="9838"/>
      </w:tblGrid>
      <w:tr>
        <w:trPr/>
        <w:tc>
          <w:tcPr>
            <w:tcW w:w="75" w:type="dxa"/>
            <w:tcBorders/>
            <w:vAlign w:val="center"/>
          </w:tcPr>
          <w:p>
            <w:pPr>
              <w:pStyle w:val="TableContents"/>
              <w:bidi w:val="0"/>
              <w:spacing w:before="0" w:after="283"/>
              <w:jc w:val="both"/>
              <w:rPr/>
            </w:pPr>
            <w:r>
              <w:rPr/>
              <w:t> </w:t>
            </w:r>
          </w:p>
        </w:tc>
        <w:tc>
          <w:tcPr>
            <w:tcW w:w="292" w:type="dxa"/>
            <w:tcBorders/>
            <w:vAlign w:val="center"/>
          </w:tcPr>
          <w:p>
            <w:pPr>
              <w:pStyle w:val="TableContents"/>
              <w:bidi w:val="0"/>
              <w:spacing w:before="0" w:after="283"/>
              <w:jc w:val="both"/>
              <w:rPr>
                <w:sz w:val="20"/>
              </w:rPr>
            </w:pPr>
            <w:r>
              <w:rPr>
                <w:sz w:val="20"/>
              </w:rPr>
              <w:t>(i)</w:t>
            </w:r>
          </w:p>
        </w:tc>
        <w:tc>
          <w:tcPr>
            <w:tcW w:w="9838" w:type="dxa"/>
            <w:tcBorders/>
            <w:vAlign w:val="center"/>
          </w:tcPr>
          <w:p>
            <w:pPr>
              <w:pStyle w:val="TableContents"/>
              <w:bidi w:val="0"/>
              <w:spacing w:before="0" w:after="283"/>
              <w:jc w:val="both"/>
              <w:rPr>
                <w:sz w:val="20"/>
              </w:rPr>
            </w:pPr>
            <w:r>
              <w:rPr>
                <w:sz w:val="20"/>
              </w:rPr>
              <w:t xml:space="preserve">Any preliminary prospectus or prospectus of the undersigned registrant relating to the offering required to be filed pursuant to Rule 424; </w:t>
            </w:r>
          </w:p>
        </w:tc>
      </w:tr>
      <w:tr>
        <w:trPr/>
        <w:tc>
          <w:tcPr>
            <w:tcW w:w="75" w:type="dxa"/>
            <w:tcBorders/>
            <w:vAlign w:val="center"/>
          </w:tcPr>
          <w:p>
            <w:pPr>
              <w:pStyle w:val="TableContents"/>
              <w:bidi w:val="0"/>
              <w:spacing w:before="0" w:after="283"/>
              <w:jc w:val="both"/>
              <w:rPr/>
            </w:pPr>
            <w:r>
              <w:rPr/>
              <w:t> </w:t>
            </w:r>
          </w:p>
        </w:tc>
        <w:tc>
          <w:tcPr>
            <w:tcW w:w="292" w:type="dxa"/>
            <w:tcBorders/>
            <w:vAlign w:val="center"/>
          </w:tcPr>
          <w:p>
            <w:pPr>
              <w:pStyle w:val="TableContents"/>
              <w:bidi w:val="0"/>
              <w:spacing w:before="0" w:after="283"/>
              <w:jc w:val="both"/>
              <w:rPr/>
            </w:pPr>
            <w:r>
              <w:rPr/>
              <w:t> </w:t>
            </w:r>
          </w:p>
        </w:tc>
        <w:tc>
          <w:tcPr>
            <w:tcW w:w="983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92" w:type="dxa"/>
            <w:tcBorders/>
            <w:vAlign w:val="center"/>
          </w:tcPr>
          <w:p>
            <w:pPr>
              <w:pStyle w:val="TableContents"/>
              <w:bidi w:val="0"/>
              <w:spacing w:before="0" w:after="283"/>
              <w:jc w:val="both"/>
              <w:rPr>
                <w:sz w:val="20"/>
              </w:rPr>
            </w:pPr>
            <w:r>
              <w:rPr>
                <w:sz w:val="20"/>
              </w:rPr>
              <w:t>(ii)</w:t>
            </w:r>
          </w:p>
        </w:tc>
        <w:tc>
          <w:tcPr>
            <w:tcW w:w="9838" w:type="dxa"/>
            <w:tcBorders/>
            <w:vAlign w:val="center"/>
          </w:tcPr>
          <w:p>
            <w:pPr>
              <w:pStyle w:val="TableContents"/>
              <w:bidi w:val="0"/>
              <w:spacing w:before="0" w:after="283"/>
              <w:jc w:val="both"/>
              <w:rPr>
                <w:sz w:val="20"/>
              </w:rPr>
            </w:pPr>
            <w:r>
              <w:rPr>
                <w:sz w:val="20"/>
              </w:rPr>
              <w:t xml:space="preserve">Any free writing prospectus relating to the offering prepared by or on behalf of the undersigned registrant or used or referred to by the undersigned registrant; </w:t>
            </w:r>
          </w:p>
        </w:tc>
      </w:tr>
      <w:tr>
        <w:trPr/>
        <w:tc>
          <w:tcPr>
            <w:tcW w:w="75" w:type="dxa"/>
            <w:tcBorders/>
            <w:vAlign w:val="center"/>
          </w:tcPr>
          <w:p>
            <w:pPr>
              <w:pStyle w:val="TableContents"/>
              <w:bidi w:val="0"/>
              <w:spacing w:before="0" w:after="283"/>
              <w:jc w:val="both"/>
              <w:rPr/>
            </w:pPr>
            <w:r>
              <w:rPr/>
              <w:t> </w:t>
            </w:r>
          </w:p>
        </w:tc>
        <w:tc>
          <w:tcPr>
            <w:tcW w:w="292" w:type="dxa"/>
            <w:tcBorders/>
            <w:vAlign w:val="center"/>
          </w:tcPr>
          <w:p>
            <w:pPr>
              <w:pStyle w:val="TableContents"/>
              <w:bidi w:val="0"/>
              <w:spacing w:before="0" w:after="283"/>
              <w:jc w:val="both"/>
              <w:rPr/>
            </w:pPr>
            <w:r>
              <w:rPr/>
              <w:t> </w:t>
            </w:r>
          </w:p>
        </w:tc>
        <w:tc>
          <w:tcPr>
            <w:tcW w:w="983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92" w:type="dxa"/>
            <w:tcBorders/>
            <w:vAlign w:val="center"/>
          </w:tcPr>
          <w:p>
            <w:pPr>
              <w:pStyle w:val="TableContents"/>
              <w:bidi w:val="0"/>
              <w:spacing w:before="0" w:after="283"/>
              <w:jc w:val="both"/>
              <w:rPr>
                <w:sz w:val="20"/>
              </w:rPr>
            </w:pPr>
            <w:r>
              <w:rPr>
                <w:sz w:val="20"/>
              </w:rPr>
              <w:t>(iii)</w:t>
            </w:r>
          </w:p>
        </w:tc>
        <w:tc>
          <w:tcPr>
            <w:tcW w:w="9838" w:type="dxa"/>
            <w:tcBorders/>
            <w:vAlign w:val="center"/>
          </w:tcPr>
          <w:p>
            <w:pPr>
              <w:pStyle w:val="TableContents"/>
              <w:bidi w:val="0"/>
              <w:spacing w:before="0" w:after="283"/>
              <w:jc w:val="both"/>
              <w:rPr>
                <w:sz w:val="20"/>
              </w:rPr>
            </w:pPr>
            <w:r>
              <w:rPr>
                <w:sz w:val="20"/>
              </w:rPr>
              <w:t xml:space="preserve">The portion of any other free writing prospectus relating to the offering containing material information about the undersigned registrant or its securities provided by or on behalf of the undersigned registrant; and </w:t>
            </w:r>
          </w:p>
        </w:tc>
      </w:tr>
      <w:tr>
        <w:trPr/>
        <w:tc>
          <w:tcPr>
            <w:tcW w:w="75" w:type="dxa"/>
            <w:tcBorders/>
            <w:vAlign w:val="center"/>
          </w:tcPr>
          <w:p>
            <w:pPr>
              <w:pStyle w:val="TableContents"/>
              <w:bidi w:val="0"/>
              <w:spacing w:before="0" w:after="283"/>
              <w:jc w:val="both"/>
              <w:rPr/>
            </w:pPr>
            <w:r>
              <w:rPr/>
              <w:t> </w:t>
            </w:r>
          </w:p>
        </w:tc>
        <w:tc>
          <w:tcPr>
            <w:tcW w:w="292" w:type="dxa"/>
            <w:tcBorders/>
            <w:vAlign w:val="center"/>
          </w:tcPr>
          <w:p>
            <w:pPr>
              <w:pStyle w:val="TableContents"/>
              <w:bidi w:val="0"/>
              <w:spacing w:before="0" w:after="283"/>
              <w:jc w:val="both"/>
              <w:rPr/>
            </w:pPr>
            <w:r>
              <w:rPr/>
              <w:t> </w:t>
            </w:r>
          </w:p>
        </w:tc>
        <w:tc>
          <w:tcPr>
            <w:tcW w:w="983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92" w:type="dxa"/>
            <w:tcBorders/>
            <w:vAlign w:val="center"/>
          </w:tcPr>
          <w:p>
            <w:pPr>
              <w:pStyle w:val="TableContents"/>
              <w:bidi w:val="0"/>
              <w:spacing w:before="0" w:after="283"/>
              <w:jc w:val="both"/>
              <w:rPr>
                <w:sz w:val="20"/>
              </w:rPr>
            </w:pPr>
            <w:r>
              <w:rPr>
                <w:sz w:val="20"/>
              </w:rPr>
              <w:t>(iv)</w:t>
            </w:r>
          </w:p>
        </w:tc>
        <w:tc>
          <w:tcPr>
            <w:tcW w:w="9838" w:type="dxa"/>
            <w:tcBorders/>
            <w:vAlign w:val="center"/>
          </w:tcPr>
          <w:p>
            <w:pPr>
              <w:pStyle w:val="TableContents"/>
              <w:bidi w:val="0"/>
              <w:spacing w:before="0" w:after="283"/>
              <w:jc w:val="both"/>
              <w:rPr>
                <w:sz w:val="20"/>
              </w:rPr>
            </w:pPr>
            <w:r>
              <w:rPr>
                <w:sz w:val="20"/>
              </w:rPr>
              <w:t xml:space="preserve">Any other communication that is an offer in the offering made by the undersigned registrant to the purchaser.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both"/>
              <w:rPr>
                <w:sz w:val="20"/>
              </w:rPr>
            </w:pPr>
            <w:r>
              <w:rPr>
                <w:sz w:val="20"/>
              </w:rPr>
              <w:t>(b)</w:t>
            </w:r>
          </w:p>
        </w:tc>
        <w:tc>
          <w:tcPr>
            <w:tcW w:w="9999" w:type="dxa"/>
            <w:tcBorders/>
            <w:vAlign w:val="center"/>
          </w:tcPr>
          <w:p>
            <w:pPr>
              <w:pStyle w:val="TableContents"/>
              <w:bidi w:val="0"/>
              <w:spacing w:before="0" w:after="283"/>
              <w:jc w:val="both"/>
              <w:rPr>
                <w:sz w:val="20"/>
              </w:rPr>
            </w:pPr>
            <w:r>
              <w:rPr>
                <w:sz w:val="20"/>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 </w:t>
            </w:r>
          </w:p>
        </w:tc>
      </w:tr>
      <w:tr>
        <w:trPr/>
        <w:tc>
          <w:tcPr>
            <w:tcW w:w="206" w:type="dxa"/>
            <w:tcBorders/>
            <w:vAlign w:val="center"/>
          </w:tcPr>
          <w:p>
            <w:pPr>
              <w:pStyle w:val="TableContents"/>
              <w:bidi w:val="0"/>
              <w:spacing w:before="0" w:after="283"/>
              <w:jc w:val="both"/>
              <w:rPr/>
            </w:pPr>
            <w:r>
              <w:rPr/>
              <w:t> </w:t>
            </w:r>
          </w:p>
        </w:tc>
        <w:tc>
          <w:tcPr>
            <w:tcW w:w="9999" w:type="dxa"/>
            <w:tcBorders/>
            <w:vAlign w:val="center"/>
          </w:tcPr>
          <w:p>
            <w:pPr>
              <w:pStyle w:val="TableContents"/>
              <w:bidi w:val="0"/>
              <w:spacing w:before="0" w:after="283"/>
              <w:jc w:val="both"/>
              <w:rPr/>
            </w:pPr>
            <w:r>
              <w:rPr/>
              <w:t> </w:t>
            </w:r>
          </w:p>
        </w:tc>
      </w:tr>
      <w:tr>
        <w:trPr/>
        <w:tc>
          <w:tcPr>
            <w:tcW w:w="206" w:type="dxa"/>
            <w:tcBorders/>
            <w:vAlign w:val="center"/>
          </w:tcPr>
          <w:p>
            <w:pPr>
              <w:pStyle w:val="TableContents"/>
              <w:bidi w:val="0"/>
              <w:spacing w:before="0" w:after="283"/>
              <w:jc w:val="both"/>
              <w:rPr>
                <w:sz w:val="20"/>
              </w:rPr>
            </w:pPr>
            <w:r>
              <w:rPr>
                <w:sz w:val="20"/>
              </w:rPr>
              <w:t>(c)</w:t>
            </w:r>
          </w:p>
        </w:tc>
        <w:tc>
          <w:tcPr>
            <w:tcW w:w="9999" w:type="dxa"/>
            <w:tcBorders/>
            <w:vAlign w:val="center"/>
          </w:tcPr>
          <w:p>
            <w:pPr>
              <w:pStyle w:val="TableContents"/>
              <w:bidi w:val="0"/>
              <w:spacing w:before="0" w:after="283"/>
              <w:jc w:val="both"/>
              <w:rPr>
                <w:sz w:val="20"/>
              </w:rPr>
            </w:pPr>
            <w:r>
              <w:rPr>
                <w:sz w:val="20"/>
              </w:rPr>
              <w:t>The undersigned registrant hereby undertakes to supplement the prospectus, after the expiration of the subscription period, to set forth the results of the subscription offer, the transactions by the underwriters during the subscription period, the amount of unsubscribed securities to be purchased by the underwriters, and the terms of any subsequent reoffering thereof. If any public offering by the underwriters is to be made on terms differing from those set forth on the cover page of the prospectus, a post-effective amendment will be filed to set forth the terms of such offering.</w:t>
            </w:r>
          </w:p>
        </w:tc>
      </w:tr>
      <w:tr>
        <w:trPr/>
        <w:tc>
          <w:tcPr>
            <w:tcW w:w="206" w:type="dxa"/>
            <w:tcBorders/>
            <w:vAlign w:val="center"/>
          </w:tcPr>
          <w:p>
            <w:pPr>
              <w:pStyle w:val="TableContents"/>
              <w:bidi w:val="0"/>
              <w:spacing w:before="0" w:after="283"/>
              <w:jc w:val="both"/>
              <w:rPr/>
            </w:pPr>
            <w:r>
              <w:rPr/>
              <w:t> </w:t>
            </w:r>
          </w:p>
        </w:tc>
        <w:tc>
          <w:tcPr>
            <w:tcW w:w="9999" w:type="dxa"/>
            <w:tcBorders/>
            <w:vAlign w:val="center"/>
          </w:tcPr>
          <w:p>
            <w:pPr>
              <w:pStyle w:val="TableContents"/>
              <w:bidi w:val="0"/>
              <w:spacing w:before="0" w:after="283"/>
              <w:jc w:val="both"/>
              <w:rPr/>
            </w:pPr>
            <w:r>
              <w:rPr/>
              <w:t> </w:t>
            </w:r>
          </w:p>
        </w:tc>
      </w:tr>
      <w:tr>
        <w:trPr/>
        <w:tc>
          <w:tcPr>
            <w:tcW w:w="206" w:type="dxa"/>
            <w:tcBorders/>
            <w:vAlign w:val="center"/>
          </w:tcPr>
          <w:p>
            <w:pPr>
              <w:pStyle w:val="TableContents"/>
              <w:bidi w:val="0"/>
              <w:spacing w:before="0" w:after="283"/>
              <w:jc w:val="both"/>
              <w:rPr>
                <w:sz w:val="20"/>
              </w:rPr>
            </w:pPr>
            <w:r>
              <w:rPr>
                <w:sz w:val="20"/>
              </w:rPr>
              <w:t>(d)</w:t>
            </w:r>
          </w:p>
        </w:tc>
        <w:tc>
          <w:tcPr>
            <w:tcW w:w="9999" w:type="dxa"/>
            <w:tcBorders/>
            <w:vAlign w:val="center"/>
          </w:tcPr>
          <w:p>
            <w:pPr>
              <w:pStyle w:val="TableContents"/>
              <w:bidi w:val="0"/>
              <w:spacing w:before="0" w:after="283"/>
              <w:jc w:val="both"/>
              <w:rPr>
                <w:sz w:val="20"/>
              </w:rPr>
            </w:pPr>
            <w:r>
              <w:rPr>
                <w:sz w:val="20"/>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tc>
      </w:tr>
      <w:tr>
        <w:trPr/>
        <w:tc>
          <w:tcPr>
            <w:tcW w:w="206" w:type="dxa"/>
            <w:tcBorders/>
            <w:vAlign w:val="center"/>
          </w:tcPr>
          <w:p>
            <w:pPr>
              <w:pStyle w:val="TableContents"/>
              <w:bidi w:val="0"/>
              <w:spacing w:before="0" w:after="283"/>
              <w:jc w:val="both"/>
              <w:rPr/>
            </w:pPr>
            <w:r>
              <w:rPr/>
              <w:t> </w:t>
            </w:r>
          </w:p>
        </w:tc>
        <w:tc>
          <w:tcPr>
            <w:tcW w:w="9999" w:type="dxa"/>
            <w:tcBorders/>
            <w:vAlign w:val="center"/>
          </w:tcPr>
          <w:p>
            <w:pPr>
              <w:pStyle w:val="TableContents"/>
              <w:bidi w:val="0"/>
              <w:spacing w:before="0" w:after="283"/>
              <w:jc w:val="both"/>
              <w:rPr/>
            </w:pPr>
            <w:r>
              <w:rPr/>
              <w:t> </w:t>
            </w:r>
          </w:p>
        </w:tc>
      </w:tr>
      <w:tr>
        <w:trPr/>
        <w:tc>
          <w:tcPr>
            <w:tcW w:w="206" w:type="dxa"/>
            <w:tcBorders/>
            <w:vAlign w:val="center"/>
          </w:tcPr>
          <w:p>
            <w:pPr>
              <w:pStyle w:val="TableContents"/>
              <w:bidi w:val="0"/>
              <w:spacing w:before="0" w:after="283"/>
              <w:jc w:val="both"/>
              <w:rPr>
                <w:sz w:val="20"/>
              </w:rPr>
            </w:pPr>
            <w:r>
              <w:rPr>
                <w:sz w:val="20"/>
              </w:rPr>
              <w:t>(e)</w:t>
            </w:r>
          </w:p>
        </w:tc>
        <w:tc>
          <w:tcPr>
            <w:tcW w:w="9999" w:type="dxa"/>
            <w:tcBorders/>
            <w:vAlign w:val="center"/>
          </w:tcPr>
          <w:p>
            <w:pPr>
              <w:pStyle w:val="TableContents"/>
              <w:bidi w:val="0"/>
              <w:spacing w:before="0" w:after="283"/>
              <w:jc w:val="both"/>
              <w:rPr>
                <w:sz w:val="20"/>
              </w:rPr>
            </w:pPr>
            <w:r>
              <w:rPr>
                <w:sz w:val="20"/>
              </w:rPr>
              <w:t xml:space="preserve">The undersigned registrant hereby undertakes to file an application for the purpose of determining the eligibility of the trustee to act under subsection (a) of Section 310 of the Trust Indenture Act in accordance with the rules and regulations prescribed by the Commission under Section 305(b)(2) of the Trust Indenture Act. </w:t>
            </w:r>
          </w:p>
        </w:tc>
      </w:tr>
    </w:tbl>
    <w:p>
      <w:pPr>
        <w:pStyle w:val="TextBody"/>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spacing w:val="5"/>
        </w:rPr>
      </w:pPr>
      <w:r>
        <w:rPr>
          <w:caps/>
          <w:spacing w:val="5"/>
        </w:rPr>
        <w:t> </w:t>
      </w:r>
    </w:p>
    <w:p>
      <w:pPr>
        <w:pStyle w:val="TextBody"/>
        <w:bidi w:val="0"/>
        <w:spacing w:before="0" w:after="0"/>
        <w:ind w:left="0" w:right="0" w:hanging="0"/>
        <w:jc w:val="center"/>
        <w:rPr>
          <w:rFonts w:ascii="Times New Roman;Times;Serif" w:hAnsi="Times New Roman;Times;Serif"/>
          <w:b/>
          <w:i w:val="false"/>
          <w:caps/>
          <w:spacing w:val="5"/>
          <w:sz w:val="20"/>
        </w:rPr>
      </w:pPr>
      <w:r>
        <w:rPr>
          <w:rFonts w:ascii="Times New Roman;Times;Serif" w:hAnsi="Times New Roman;Times;Serif"/>
          <w:b/>
          <w:i w:val="false"/>
          <w:caps/>
          <w:spacing w:val="5"/>
          <w:sz w:val="20"/>
        </w:rPr>
        <w:t>SIGNATURES</w:t>
      </w:r>
    </w:p>
    <w:p>
      <w:pPr>
        <w:pStyle w:val="TextBody"/>
        <w:bidi w:val="0"/>
        <w:spacing w:before="0" w:after="0"/>
        <w:ind w:left="0" w:right="0" w:hanging="0"/>
        <w:jc w:val="center"/>
        <w:rPr>
          <w:caps/>
          <w:spacing w:val="5"/>
        </w:rPr>
      </w:pPr>
      <w:r>
        <w:rPr>
          <w:caps/>
          <w:spacing w:val="5"/>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has duly caused this Registration Statement to be signed on its behalf by the undersigned, thereunto duly authorized, in the City of St. Louis, State of Missouri, on March 13, 2026.</w:t>
      </w:r>
    </w:p>
    <w:p>
      <w:pPr>
        <w:pStyle w:val="TextBody"/>
        <w:bidi w:val="0"/>
        <w:spacing w:before="0" w:after="0"/>
        <w:ind w:left="0" w:right="0" w:firstLine="490"/>
        <w:jc w:val="left"/>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75"/>
        <w:gridCol w:w="320"/>
        <w:gridCol w:w="3140"/>
      </w:tblGrid>
      <w:tr>
        <w:trPr/>
        <w:tc>
          <w:tcPr>
            <w:tcW w:w="75" w:type="dxa"/>
            <w:tcBorders/>
            <w:vAlign w:val="center"/>
          </w:tcPr>
          <w:p>
            <w:pPr>
              <w:pStyle w:val="TableContents"/>
              <w:bidi w:val="0"/>
              <w:spacing w:before="0" w:after="283"/>
              <w:jc w:val="left"/>
              <w:rPr/>
            </w:pPr>
            <w:r>
              <w:rPr/>
              <w:t> </w:t>
            </w:r>
          </w:p>
        </w:tc>
        <w:tc>
          <w:tcPr>
            <w:tcW w:w="3460" w:type="dxa"/>
            <w:gridSpan w:val="2"/>
            <w:tcBorders/>
            <w:vAlign w:val="center"/>
          </w:tcPr>
          <w:p>
            <w:pPr>
              <w:pStyle w:val="TableContents"/>
              <w:bidi w:val="0"/>
              <w:spacing w:before="0" w:after="283"/>
              <w:jc w:val="left"/>
              <w:rPr>
                <w:sz w:val="20"/>
              </w:rPr>
            </w:pPr>
            <w:r>
              <w:rPr>
                <w:sz w:val="20"/>
              </w:rPr>
              <w:t>STEREOTAXIS,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3140"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David L. Fischel</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sz w:val="20"/>
              </w:rPr>
            </w:pPr>
            <w:r>
              <w:rPr>
                <w:sz w:val="20"/>
              </w:rPr>
              <w:t>David L. Fischel</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sz w:val="20"/>
              </w:rPr>
            </w:pPr>
            <w:r>
              <w:rPr>
                <w:sz w:val="20"/>
              </w:rPr>
              <w:t>Chairman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poa_001"/>
      <w:bookmarkEnd w:id="30"/>
      <w:r>
        <w:rPr>
          <w:rFonts w:ascii="Times New Roman;Times;Serif" w:hAnsi="Times New Roman;Times;Serif"/>
          <w:b/>
          <w:i w:val="false"/>
          <w:caps w:val="false"/>
          <w:smallCaps w:val="false"/>
          <w:sz w:val="20"/>
        </w:rPr>
        <w:t>POWER OF ATTORNEY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undersigned officers and directors of the registrant hereby severally constitutes and appoints David L. Fischel, Kimberly R. Peery and Patricia S. Williams, and each of them singly (with full power to each of them to act alone), as his or her true and lawful attorneys-in-fact and agents, with full power of substitution and resubstitution in each of them, for him or her and in his or her name, place and stead, and in any and all capacities, to file and sign any and all amendments, including post-effective amendments, to this registration statement and any other registration statement for the same offering that is to be effective under Rule 462(b) under the Securities Act of 1933, as amended, and all documents and instruments necessary or advisable in connection therewith, and to file the same, with all exhibits thereto, and other documents in connection therewith, with the Securities and Exchange Commission (or any other governmental regulatory authority), granting unto said attorneys-in-fact and agents, and each of them, full power and authority to do and perform in the name and on behalf of each of the undersigned each and every act and thing requisite and necessary or advisable to be done in connection therewith and about the premises as fully to all intents and purposes as he or she might or could do in person, hereby ratifying and confirming all that said attorneys-in-fact and agents, or their substitute or substitutes, may lawfully do or cause to be done by virtue hereof. This power of attorney shall be governed by and construed with the laws of the State of Delaware and applicable federal securities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indicated and on the dates indicated.</w:t>
      </w:r>
    </w:p>
    <w:p>
      <w:pPr>
        <w:pStyle w:val="TextBody"/>
        <w:bidi w:val="0"/>
        <w:spacing w:before="0" w:after="0"/>
        <w:ind w:left="0" w:right="0" w:firstLine="490"/>
        <w:jc w:val="left"/>
        <w:rPr>
          <w:caps w:val="false"/>
          <w:smallCaps w:val="false"/>
        </w:rPr>
      </w:pPr>
      <w:r>
        <w:rPr>
          <w:caps w:val="false"/>
          <w:smallCaps w:val="false"/>
        </w:rPr>
        <w:t> </w:t>
      </w:r>
    </w:p>
    <w:tbl>
      <w:tblPr>
        <w:tblW w:w="6675" w:type="dxa"/>
        <w:jc w:val="left"/>
        <w:tblInd w:w="0" w:type="dxa"/>
        <w:tblLayout w:type="fixed"/>
        <w:tblCellMar>
          <w:top w:w="0" w:type="dxa"/>
          <w:left w:w="0" w:type="dxa"/>
          <w:bottom w:w="28" w:type="dxa"/>
          <w:right w:w="0" w:type="dxa"/>
        </w:tblCellMar>
      </w:tblPr>
      <w:tblGrid>
        <w:gridCol w:w="1745"/>
        <w:gridCol w:w="60"/>
        <w:gridCol w:w="3485"/>
        <w:gridCol w:w="60"/>
        <w:gridCol w:w="1325"/>
      </w:tblGrid>
      <w:tr>
        <w:trPr/>
        <w:tc>
          <w:tcPr>
            <w:tcW w:w="1745" w:type="dxa"/>
            <w:tcBorders>
              <w:bottom w:val="single" w:sz="8" w:space="0" w:color="000000"/>
            </w:tcBorders>
            <w:vAlign w:val="center"/>
          </w:tcPr>
          <w:p>
            <w:pPr>
              <w:pStyle w:val="TableContents"/>
              <w:bidi w:val="0"/>
              <w:spacing w:before="0" w:after="283"/>
              <w:jc w:val="center"/>
              <w:rPr>
                <w:b/>
                <w:sz w:val="20"/>
              </w:rPr>
            </w:pPr>
            <w:r>
              <w:rPr>
                <w:b/>
                <w:sz w:val="20"/>
              </w:rPr>
              <w:t>Signature</w:t>
            </w:r>
          </w:p>
        </w:tc>
        <w:tc>
          <w:tcPr>
            <w:tcW w:w="60" w:type="dxa"/>
            <w:tcBorders/>
            <w:tcMar>
              <w:bottom w:w="0" w:type="dxa"/>
            </w:tcMar>
            <w:vAlign w:val="center"/>
          </w:tcPr>
          <w:p>
            <w:pPr>
              <w:pStyle w:val="TableContents"/>
              <w:bidi w:val="0"/>
              <w:spacing w:before="0" w:after="283"/>
              <w:jc w:val="center"/>
              <w:rPr/>
            </w:pPr>
            <w:r>
              <w:rPr/>
              <w:t> </w:t>
            </w:r>
          </w:p>
        </w:tc>
        <w:tc>
          <w:tcPr>
            <w:tcW w:w="3485" w:type="dxa"/>
            <w:tcBorders>
              <w:bottom w:val="single" w:sz="8" w:space="0" w:color="000000"/>
            </w:tcBorders>
            <w:vAlign w:val="center"/>
          </w:tcPr>
          <w:p>
            <w:pPr>
              <w:pStyle w:val="TableContents"/>
              <w:bidi w:val="0"/>
              <w:spacing w:before="0" w:after="283"/>
              <w:jc w:val="center"/>
              <w:rPr>
                <w:b/>
                <w:sz w:val="20"/>
              </w:rPr>
            </w:pPr>
            <w:r>
              <w:rPr>
                <w:b/>
                <w:sz w:val="20"/>
              </w:rPr>
              <w:t>Title(s)</w:t>
            </w:r>
          </w:p>
        </w:tc>
        <w:tc>
          <w:tcPr>
            <w:tcW w:w="60" w:type="dxa"/>
            <w:tcBorders/>
            <w:tcMar>
              <w:bottom w:w="0" w:type="dxa"/>
            </w:tcMar>
            <w:vAlign w:val="center"/>
          </w:tcPr>
          <w:p>
            <w:pPr>
              <w:pStyle w:val="TableContents"/>
              <w:bidi w:val="0"/>
              <w:spacing w:before="0" w:after="283"/>
              <w:jc w:val="center"/>
              <w:rPr/>
            </w:pPr>
            <w:r>
              <w:rPr/>
              <w:t> </w:t>
            </w:r>
          </w:p>
        </w:tc>
        <w:tc>
          <w:tcPr>
            <w:tcW w:w="1325" w:type="dxa"/>
            <w:tcBorders>
              <w:bottom w:val="single" w:sz="8" w:space="0" w:color="000000"/>
            </w:tcBorders>
            <w:vAlign w:val="center"/>
          </w:tcPr>
          <w:p>
            <w:pPr>
              <w:pStyle w:val="TableContents"/>
              <w:bidi w:val="0"/>
              <w:spacing w:before="0" w:after="283"/>
              <w:jc w:val="center"/>
              <w:rPr>
                <w:b/>
                <w:sz w:val="20"/>
              </w:rPr>
            </w:pPr>
            <w:r>
              <w:rPr>
                <w:b/>
                <w:sz w:val="20"/>
              </w:rPr>
              <w:t>Date</w:t>
            </w:r>
          </w:p>
        </w:tc>
      </w:tr>
      <w:tr>
        <w:trPr/>
        <w:tc>
          <w:tcPr>
            <w:tcW w:w="174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4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1745" w:type="dxa"/>
            <w:tcBorders>
              <w:bottom w:val="single" w:sz="8" w:space="0" w:color="000000"/>
            </w:tcBorders>
            <w:vAlign w:val="center"/>
          </w:tcPr>
          <w:p>
            <w:pPr>
              <w:pStyle w:val="TableContents"/>
              <w:bidi w:val="0"/>
              <w:spacing w:before="0" w:after="283"/>
              <w:jc w:val="center"/>
              <w:rPr>
                <w:i/>
                <w:sz w:val="20"/>
              </w:rPr>
            </w:pPr>
            <w:r>
              <w:rPr>
                <w:i/>
                <w:sz w:val="20"/>
              </w:rPr>
              <w:t>/s/ David L. Fischel</w:t>
            </w:r>
          </w:p>
        </w:tc>
        <w:tc>
          <w:tcPr>
            <w:tcW w:w="60" w:type="dxa"/>
            <w:tcBorders/>
            <w:tcMar>
              <w:bottom w:w="0" w:type="dxa"/>
            </w:tcMar>
            <w:vAlign w:val="center"/>
          </w:tcPr>
          <w:p>
            <w:pPr>
              <w:pStyle w:val="TableContents"/>
              <w:bidi w:val="0"/>
              <w:spacing w:before="0" w:after="283"/>
              <w:jc w:val="left"/>
              <w:rPr/>
            </w:pPr>
            <w:r>
              <w:rPr/>
              <w:t> </w:t>
            </w:r>
          </w:p>
        </w:tc>
        <w:tc>
          <w:tcPr>
            <w:tcW w:w="3485" w:type="dxa"/>
            <w:tcBorders/>
            <w:tcMar>
              <w:bottom w:w="0" w:type="dxa"/>
            </w:tcMar>
            <w:vAlign w:val="center"/>
          </w:tcPr>
          <w:p>
            <w:pPr>
              <w:pStyle w:val="TableContents"/>
              <w:bidi w:val="0"/>
              <w:spacing w:before="0" w:after="283"/>
              <w:jc w:val="left"/>
              <w:rPr>
                <w:sz w:val="20"/>
              </w:rPr>
            </w:pPr>
            <w:r>
              <w:rPr>
                <w:sz w:val="20"/>
              </w:rPr>
              <w:t>Chairman and Chief Executive Officer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sz w:val="20"/>
              </w:rPr>
            </w:pPr>
            <w:r>
              <w:rPr>
                <w:sz w:val="20"/>
              </w:rPr>
              <w:t>March 13, 2026</w:t>
            </w:r>
          </w:p>
        </w:tc>
      </w:tr>
      <w:tr>
        <w:trPr/>
        <w:tc>
          <w:tcPr>
            <w:tcW w:w="1745" w:type="dxa"/>
            <w:tcBorders/>
            <w:tcMar>
              <w:bottom w:w="0" w:type="dxa"/>
            </w:tcMar>
            <w:vAlign w:val="center"/>
          </w:tcPr>
          <w:p>
            <w:pPr>
              <w:pStyle w:val="TableContents"/>
              <w:bidi w:val="0"/>
              <w:spacing w:before="0" w:after="283"/>
              <w:jc w:val="center"/>
              <w:rPr>
                <w:b/>
                <w:sz w:val="20"/>
              </w:rPr>
            </w:pPr>
            <w:r>
              <w:rPr>
                <w:b/>
                <w:sz w:val="20"/>
              </w:rPr>
              <w:t>David L. Fischel</w:t>
            </w:r>
          </w:p>
        </w:tc>
        <w:tc>
          <w:tcPr>
            <w:tcW w:w="60" w:type="dxa"/>
            <w:tcBorders/>
            <w:tcMar>
              <w:bottom w:w="0" w:type="dxa"/>
            </w:tcMar>
            <w:vAlign w:val="center"/>
          </w:tcPr>
          <w:p>
            <w:pPr>
              <w:pStyle w:val="TableContents"/>
              <w:bidi w:val="0"/>
              <w:spacing w:before="0" w:after="283"/>
              <w:jc w:val="left"/>
              <w:rPr/>
            </w:pPr>
            <w:r>
              <w:rPr/>
              <w:t> </w:t>
            </w:r>
          </w:p>
        </w:tc>
        <w:tc>
          <w:tcPr>
            <w:tcW w:w="3485" w:type="dxa"/>
            <w:tcBorders/>
            <w:tcMar>
              <w:bottom w:w="0" w:type="dxa"/>
            </w:tcMar>
            <w:vAlign w:val="center"/>
          </w:tcPr>
          <w:p>
            <w:pPr>
              <w:pStyle w:val="TableContents"/>
              <w:bidi w:val="0"/>
              <w:spacing w:before="0" w:after="283"/>
              <w:jc w:val="left"/>
              <w:rPr>
                <w:sz w:val="20"/>
              </w:rPr>
            </w:pPr>
            <w:r>
              <w:rPr>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174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4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1745" w:type="dxa"/>
            <w:tcBorders>
              <w:bottom w:val="single" w:sz="8" w:space="0" w:color="000000"/>
            </w:tcBorders>
            <w:vAlign w:val="center"/>
          </w:tcPr>
          <w:p>
            <w:pPr>
              <w:pStyle w:val="TableContents"/>
              <w:bidi w:val="0"/>
              <w:spacing w:before="0" w:after="283"/>
              <w:jc w:val="center"/>
              <w:rPr>
                <w:i/>
                <w:sz w:val="20"/>
              </w:rPr>
            </w:pPr>
            <w:r>
              <w:rPr>
                <w:i/>
                <w:sz w:val="20"/>
              </w:rPr>
              <w:t>/s/ Kimberly R. Peery</w:t>
            </w:r>
          </w:p>
        </w:tc>
        <w:tc>
          <w:tcPr>
            <w:tcW w:w="60" w:type="dxa"/>
            <w:tcBorders/>
            <w:tcMar>
              <w:bottom w:w="0" w:type="dxa"/>
            </w:tcMar>
            <w:vAlign w:val="center"/>
          </w:tcPr>
          <w:p>
            <w:pPr>
              <w:pStyle w:val="TableContents"/>
              <w:bidi w:val="0"/>
              <w:spacing w:before="0" w:after="283"/>
              <w:jc w:val="left"/>
              <w:rPr/>
            </w:pPr>
            <w:r>
              <w:rPr/>
              <w:t> </w:t>
            </w:r>
          </w:p>
        </w:tc>
        <w:tc>
          <w:tcPr>
            <w:tcW w:w="3485" w:type="dxa"/>
            <w:tcBorders/>
            <w:tcMar>
              <w:bottom w:w="0" w:type="dxa"/>
            </w:tcMar>
            <w:vAlign w:val="center"/>
          </w:tcPr>
          <w:p>
            <w:pPr>
              <w:pStyle w:val="TableContents"/>
              <w:bidi w:val="0"/>
              <w:spacing w:before="0" w:after="283"/>
              <w:jc w:val="left"/>
              <w:rPr>
                <w:sz w:val="20"/>
              </w:rPr>
            </w:pPr>
            <w:r>
              <w:rPr>
                <w:sz w:val="20"/>
              </w:rPr>
              <w:t>Chief Financial Officer (principal financial</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sz w:val="20"/>
              </w:rPr>
            </w:pPr>
            <w:r>
              <w:rPr>
                <w:sz w:val="20"/>
              </w:rPr>
              <w:t>March 13, 2026</w:t>
            </w:r>
          </w:p>
        </w:tc>
      </w:tr>
      <w:tr>
        <w:trPr/>
        <w:tc>
          <w:tcPr>
            <w:tcW w:w="1745" w:type="dxa"/>
            <w:tcBorders/>
            <w:tcMar>
              <w:bottom w:w="0" w:type="dxa"/>
            </w:tcMar>
            <w:vAlign w:val="center"/>
          </w:tcPr>
          <w:p>
            <w:pPr>
              <w:pStyle w:val="TableContents"/>
              <w:bidi w:val="0"/>
              <w:spacing w:before="0" w:after="283"/>
              <w:jc w:val="center"/>
              <w:rPr>
                <w:b/>
                <w:sz w:val="20"/>
              </w:rPr>
            </w:pPr>
            <w:r>
              <w:rPr>
                <w:b/>
                <w:sz w:val="20"/>
              </w:rPr>
              <w:t>Kimberly R. Peery</w:t>
            </w:r>
          </w:p>
        </w:tc>
        <w:tc>
          <w:tcPr>
            <w:tcW w:w="60" w:type="dxa"/>
            <w:tcBorders/>
            <w:tcMar>
              <w:bottom w:w="0" w:type="dxa"/>
            </w:tcMar>
            <w:vAlign w:val="center"/>
          </w:tcPr>
          <w:p>
            <w:pPr>
              <w:pStyle w:val="TableContents"/>
              <w:bidi w:val="0"/>
              <w:spacing w:before="0" w:after="283"/>
              <w:jc w:val="left"/>
              <w:rPr/>
            </w:pPr>
            <w:r>
              <w:rPr/>
              <w:t> </w:t>
            </w:r>
          </w:p>
        </w:tc>
        <w:tc>
          <w:tcPr>
            <w:tcW w:w="3485" w:type="dxa"/>
            <w:tcBorders/>
            <w:tcMar>
              <w:bottom w:w="0" w:type="dxa"/>
            </w:tcMar>
            <w:vAlign w:val="center"/>
          </w:tcPr>
          <w:p>
            <w:pPr>
              <w:pStyle w:val="TableContents"/>
              <w:bidi w:val="0"/>
              <w:spacing w:before="0" w:after="283"/>
              <w:jc w:val="left"/>
              <w:rPr>
                <w:sz w:val="20"/>
              </w:rPr>
            </w:pPr>
            <w:r>
              <w:rPr>
                <w:sz w:val="20"/>
              </w:rPr>
              <w:t>officer and principal accounting officer)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174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4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1745" w:type="dxa"/>
            <w:tcBorders>
              <w:bottom w:val="single" w:sz="8" w:space="0" w:color="000000"/>
            </w:tcBorders>
            <w:vAlign w:val="center"/>
          </w:tcPr>
          <w:p>
            <w:pPr>
              <w:pStyle w:val="TableContents"/>
              <w:bidi w:val="0"/>
              <w:spacing w:before="0" w:after="283"/>
              <w:jc w:val="center"/>
              <w:rPr>
                <w:i/>
                <w:sz w:val="20"/>
              </w:rPr>
            </w:pPr>
            <w:r>
              <w:rPr>
                <w:i/>
                <w:sz w:val="20"/>
              </w:rPr>
              <w:t>/s/ David W. Benfer</w:t>
            </w:r>
          </w:p>
        </w:tc>
        <w:tc>
          <w:tcPr>
            <w:tcW w:w="60" w:type="dxa"/>
            <w:tcBorders/>
            <w:tcMar>
              <w:bottom w:w="0" w:type="dxa"/>
            </w:tcMar>
            <w:vAlign w:val="center"/>
          </w:tcPr>
          <w:p>
            <w:pPr>
              <w:pStyle w:val="TableContents"/>
              <w:bidi w:val="0"/>
              <w:spacing w:before="0" w:after="283"/>
              <w:jc w:val="left"/>
              <w:rPr/>
            </w:pPr>
            <w:r>
              <w:rPr/>
              <w:t> </w:t>
            </w:r>
          </w:p>
        </w:tc>
        <w:tc>
          <w:tcPr>
            <w:tcW w:w="3485" w:type="dxa"/>
            <w:tcBorders/>
            <w:tcMar>
              <w:bottom w:w="0" w:type="dxa"/>
            </w:tcMar>
            <w:vAlign w:val="center"/>
          </w:tcPr>
          <w:p>
            <w:pPr>
              <w:pStyle w:val="TableContents"/>
              <w:bidi w:val="0"/>
              <w:spacing w:before="0" w:after="283"/>
              <w:jc w:val="left"/>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sz w:val="20"/>
              </w:rPr>
            </w:pPr>
            <w:r>
              <w:rPr>
                <w:sz w:val="20"/>
              </w:rPr>
              <w:t>March 13, 2026</w:t>
            </w:r>
          </w:p>
        </w:tc>
      </w:tr>
      <w:tr>
        <w:trPr/>
        <w:tc>
          <w:tcPr>
            <w:tcW w:w="1745" w:type="dxa"/>
            <w:tcBorders/>
            <w:tcMar>
              <w:bottom w:w="0" w:type="dxa"/>
            </w:tcMar>
            <w:vAlign w:val="center"/>
          </w:tcPr>
          <w:p>
            <w:pPr>
              <w:pStyle w:val="TableContents"/>
              <w:bidi w:val="0"/>
              <w:spacing w:before="0" w:after="283"/>
              <w:jc w:val="center"/>
              <w:rPr>
                <w:b/>
                <w:sz w:val="20"/>
              </w:rPr>
            </w:pPr>
            <w:r>
              <w:rPr>
                <w:b/>
                <w:sz w:val="20"/>
              </w:rPr>
              <w:t>David W. Benfer</w:t>
            </w:r>
          </w:p>
        </w:tc>
        <w:tc>
          <w:tcPr>
            <w:tcW w:w="60" w:type="dxa"/>
            <w:tcBorders/>
            <w:tcMar>
              <w:bottom w:w="0" w:type="dxa"/>
            </w:tcMar>
            <w:vAlign w:val="center"/>
          </w:tcPr>
          <w:p>
            <w:pPr>
              <w:pStyle w:val="TableContents"/>
              <w:bidi w:val="0"/>
              <w:spacing w:before="0" w:after="283"/>
              <w:jc w:val="left"/>
              <w:rPr/>
            </w:pPr>
            <w:r>
              <w:rPr/>
              <w:t> </w:t>
            </w:r>
          </w:p>
        </w:tc>
        <w:tc>
          <w:tcPr>
            <w:tcW w:w="34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174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4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1745" w:type="dxa"/>
            <w:tcBorders>
              <w:bottom w:val="single" w:sz="8" w:space="0" w:color="000000"/>
            </w:tcBorders>
            <w:vAlign w:val="center"/>
          </w:tcPr>
          <w:p>
            <w:pPr>
              <w:pStyle w:val="TableContents"/>
              <w:bidi w:val="0"/>
              <w:spacing w:before="0" w:after="283"/>
              <w:jc w:val="center"/>
              <w:rPr>
                <w:i/>
                <w:sz w:val="20"/>
              </w:rPr>
            </w:pPr>
            <w:r>
              <w:rPr>
                <w:i/>
                <w:sz w:val="20"/>
              </w:rPr>
              <w:t>/s/ Myriam J. Curet</w:t>
            </w:r>
          </w:p>
        </w:tc>
        <w:tc>
          <w:tcPr>
            <w:tcW w:w="60" w:type="dxa"/>
            <w:tcBorders/>
            <w:tcMar>
              <w:bottom w:w="0" w:type="dxa"/>
            </w:tcMar>
            <w:vAlign w:val="center"/>
          </w:tcPr>
          <w:p>
            <w:pPr>
              <w:pStyle w:val="TableContents"/>
              <w:bidi w:val="0"/>
              <w:spacing w:before="0" w:after="283"/>
              <w:jc w:val="left"/>
              <w:rPr/>
            </w:pPr>
            <w:r>
              <w:rPr/>
              <w:t> </w:t>
            </w:r>
          </w:p>
        </w:tc>
        <w:tc>
          <w:tcPr>
            <w:tcW w:w="3485" w:type="dxa"/>
            <w:tcBorders/>
            <w:tcMar>
              <w:bottom w:w="0" w:type="dxa"/>
            </w:tcMar>
            <w:vAlign w:val="center"/>
          </w:tcPr>
          <w:p>
            <w:pPr>
              <w:pStyle w:val="TableContents"/>
              <w:bidi w:val="0"/>
              <w:spacing w:before="0" w:after="283"/>
              <w:jc w:val="left"/>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sz w:val="20"/>
              </w:rPr>
            </w:pPr>
            <w:r>
              <w:rPr>
                <w:sz w:val="20"/>
              </w:rPr>
              <w:t>March 13, 2026</w:t>
            </w:r>
          </w:p>
        </w:tc>
      </w:tr>
      <w:tr>
        <w:trPr/>
        <w:tc>
          <w:tcPr>
            <w:tcW w:w="1745" w:type="dxa"/>
            <w:tcBorders/>
            <w:tcMar>
              <w:bottom w:w="0" w:type="dxa"/>
            </w:tcMar>
            <w:vAlign w:val="center"/>
          </w:tcPr>
          <w:p>
            <w:pPr>
              <w:pStyle w:val="TableContents"/>
              <w:bidi w:val="0"/>
              <w:spacing w:before="0" w:after="283"/>
              <w:jc w:val="center"/>
              <w:rPr>
                <w:b/>
                <w:sz w:val="20"/>
              </w:rPr>
            </w:pPr>
            <w:r>
              <w:rPr>
                <w:b/>
                <w:sz w:val="20"/>
              </w:rPr>
              <w:t xml:space="preserve">Myriam J. Curet </w:t>
            </w:r>
          </w:p>
        </w:tc>
        <w:tc>
          <w:tcPr>
            <w:tcW w:w="60" w:type="dxa"/>
            <w:tcBorders/>
            <w:tcMar>
              <w:bottom w:w="0" w:type="dxa"/>
            </w:tcMar>
            <w:vAlign w:val="center"/>
          </w:tcPr>
          <w:p>
            <w:pPr>
              <w:pStyle w:val="TableContents"/>
              <w:bidi w:val="0"/>
              <w:spacing w:before="0" w:after="283"/>
              <w:jc w:val="left"/>
              <w:rPr/>
            </w:pPr>
            <w:r>
              <w:rPr/>
              <w:t> </w:t>
            </w:r>
          </w:p>
        </w:tc>
        <w:tc>
          <w:tcPr>
            <w:tcW w:w="34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174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4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1745" w:type="dxa"/>
            <w:tcBorders>
              <w:bottom w:val="single" w:sz="8" w:space="0" w:color="000000"/>
            </w:tcBorders>
            <w:vAlign w:val="center"/>
          </w:tcPr>
          <w:p>
            <w:pPr>
              <w:pStyle w:val="TableContents"/>
              <w:bidi w:val="0"/>
              <w:spacing w:before="0" w:after="283"/>
              <w:jc w:val="center"/>
              <w:rPr>
                <w:i/>
                <w:sz w:val="20"/>
              </w:rPr>
            </w:pPr>
            <w:r>
              <w:rPr>
                <w:i/>
                <w:sz w:val="20"/>
              </w:rPr>
              <w:t>/s/ Nathan Fischel</w:t>
            </w:r>
          </w:p>
        </w:tc>
        <w:tc>
          <w:tcPr>
            <w:tcW w:w="60" w:type="dxa"/>
            <w:tcBorders/>
            <w:tcMar>
              <w:bottom w:w="0" w:type="dxa"/>
            </w:tcMar>
            <w:vAlign w:val="center"/>
          </w:tcPr>
          <w:p>
            <w:pPr>
              <w:pStyle w:val="TableContents"/>
              <w:bidi w:val="0"/>
              <w:spacing w:before="0" w:after="283"/>
              <w:jc w:val="left"/>
              <w:rPr/>
            </w:pPr>
            <w:r>
              <w:rPr/>
              <w:t> </w:t>
            </w:r>
          </w:p>
        </w:tc>
        <w:tc>
          <w:tcPr>
            <w:tcW w:w="3485" w:type="dxa"/>
            <w:tcBorders/>
            <w:tcMar>
              <w:bottom w:w="0" w:type="dxa"/>
            </w:tcMar>
            <w:vAlign w:val="center"/>
          </w:tcPr>
          <w:p>
            <w:pPr>
              <w:pStyle w:val="TableContents"/>
              <w:bidi w:val="0"/>
              <w:spacing w:before="0" w:after="283"/>
              <w:jc w:val="left"/>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sz w:val="20"/>
              </w:rPr>
            </w:pPr>
            <w:r>
              <w:rPr>
                <w:sz w:val="20"/>
              </w:rPr>
              <w:t>March 13, 2026</w:t>
            </w:r>
          </w:p>
        </w:tc>
      </w:tr>
      <w:tr>
        <w:trPr/>
        <w:tc>
          <w:tcPr>
            <w:tcW w:w="1745" w:type="dxa"/>
            <w:tcBorders/>
            <w:tcMar>
              <w:bottom w:w="0" w:type="dxa"/>
            </w:tcMar>
            <w:vAlign w:val="center"/>
          </w:tcPr>
          <w:p>
            <w:pPr>
              <w:pStyle w:val="TableContents"/>
              <w:bidi w:val="0"/>
              <w:spacing w:before="0" w:after="283"/>
              <w:jc w:val="center"/>
              <w:rPr>
                <w:b/>
                <w:sz w:val="20"/>
              </w:rPr>
            </w:pPr>
            <w:r>
              <w:rPr>
                <w:b/>
                <w:sz w:val="20"/>
              </w:rPr>
              <w:t>Nathan Fischel</w:t>
            </w:r>
          </w:p>
        </w:tc>
        <w:tc>
          <w:tcPr>
            <w:tcW w:w="60" w:type="dxa"/>
            <w:tcBorders/>
            <w:tcMar>
              <w:bottom w:w="0" w:type="dxa"/>
            </w:tcMar>
            <w:vAlign w:val="center"/>
          </w:tcPr>
          <w:p>
            <w:pPr>
              <w:pStyle w:val="TableContents"/>
              <w:bidi w:val="0"/>
              <w:spacing w:before="0" w:after="283"/>
              <w:jc w:val="left"/>
              <w:rPr/>
            </w:pPr>
            <w:r>
              <w:rPr/>
              <w:t> </w:t>
            </w:r>
          </w:p>
        </w:tc>
        <w:tc>
          <w:tcPr>
            <w:tcW w:w="34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174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4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1745" w:type="dxa"/>
            <w:tcBorders>
              <w:bottom w:val="single" w:sz="8" w:space="0" w:color="000000"/>
            </w:tcBorders>
            <w:vAlign w:val="center"/>
          </w:tcPr>
          <w:p>
            <w:pPr>
              <w:pStyle w:val="TableContents"/>
              <w:bidi w:val="0"/>
              <w:spacing w:before="0" w:after="283"/>
              <w:jc w:val="center"/>
              <w:rPr>
                <w:i/>
                <w:sz w:val="20"/>
              </w:rPr>
            </w:pPr>
            <w:r>
              <w:rPr>
                <w:i/>
                <w:sz w:val="20"/>
              </w:rPr>
              <w:t>/s/ Ross B. Levin</w:t>
            </w:r>
          </w:p>
        </w:tc>
        <w:tc>
          <w:tcPr>
            <w:tcW w:w="60" w:type="dxa"/>
            <w:tcBorders/>
            <w:tcMar>
              <w:bottom w:w="0" w:type="dxa"/>
            </w:tcMar>
            <w:vAlign w:val="center"/>
          </w:tcPr>
          <w:p>
            <w:pPr>
              <w:pStyle w:val="TableContents"/>
              <w:bidi w:val="0"/>
              <w:spacing w:before="0" w:after="283"/>
              <w:jc w:val="left"/>
              <w:rPr/>
            </w:pPr>
            <w:r>
              <w:rPr/>
              <w:t> </w:t>
            </w:r>
          </w:p>
        </w:tc>
        <w:tc>
          <w:tcPr>
            <w:tcW w:w="3485" w:type="dxa"/>
            <w:tcBorders/>
            <w:tcMar>
              <w:bottom w:w="0" w:type="dxa"/>
            </w:tcMar>
            <w:vAlign w:val="center"/>
          </w:tcPr>
          <w:p>
            <w:pPr>
              <w:pStyle w:val="TableContents"/>
              <w:bidi w:val="0"/>
              <w:spacing w:before="0" w:after="283"/>
              <w:jc w:val="left"/>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sz w:val="20"/>
              </w:rPr>
            </w:pPr>
            <w:r>
              <w:rPr>
                <w:sz w:val="20"/>
              </w:rPr>
              <w:t>March 13, 2026</w:t>
            </w:r>
          </w:p>
        </w:tc>
      </w:tr>
      <w:tr>
        <w:trPr/>
        <w:tc>
          <w:tcPr>
            <w:tcW w:w="1745" w:type="dxa"/>
            <w:tcBorders/>
            <w:tcMar>
              <w:bottom w:w="0" w:type="dxa"/>
            </w:tcMar>
            <w:vAlign w:val="center"/>
          </w:tcPr>
          <w:p>
            <w:pPr>
              <w:pStyle w:val="TableContents"/>
              <w:bidi w:val="0"/>
              <w:spacing w:before="0" w:after="283"/>
              <w:jc w:val="center"/>
              <w:rPr>
                <w:b/>
                <w:sz w:val="20"/>
              </w:rPr>
            </w:pPr>
            <w:r>
              <w:rPr>
                <w:b/>
                <w:sz w:val="20"/>
              </w:rPr>
              <w:t>Ross B. Levin</w:t>
            </w:r>
          </w:p>
        </w:tc>
        <w:tc>
          <w:tcPr>
            <w:tcW w:w="60" w:type="dxa"/>
            <w:tcBorders/>
            <w:tcMar>
              <w:bottom w:w="0" w:type="dxa"/>
            </w:tcMar>
            <w:vAlign w:val="center"/>
          </w:tcPr>
          <w:p>
            <w:pPr>
              <w:pStyle w:val="TableContents"/>
              <w:bidi w:val="0"/>
              <w:spacing w:before="0" w:after="283"/>
              <w:jc w:val="left"/>
              <w:rPr/>
            </w:pPr>
            <w:r>
              <w:rPr/>
              <w:t> </w:t>
            </w:r>
          </w:p>
        </w:tc>
        <w:tc>
          <w:tcPr>
            <w:tcW w:w="34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174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4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1745" w:type="dxa"/>
            <w:tcBorders>
              <w:bottom w:val="single" w:sz="8" w:space="0" w:color="000000"/>
            </w:tcBorders>
            <w:vAlign w:val="center"/>
          </w:tcPr>
          <w:p>
            <w:pPr>
              <w:pStyle w:val="TableContents"/>
              <w:bidi w:val="0"/>
              <w:spacing w:before="0" w:after="283"/>
              <w:jc w:val="center"/>
              <w:rPr>
                <w:i/>
                <w:sz w:val="20"/>
              </w:rPr>
            </w:pPr>
            <w:r>
              <w:rPr>
                <w:i/>
                <w:sz w:val="20"/>
              </w:rPr>
              <w:t>/s/ Arun S. Menawat</w:t>
            </w:r>
          </w:p>
        </w:tc>
        <w:tc>
          <w:tcPr>
            <w:tcW w:w="60" w:type="dxa"/>
            <w:tcBorders/>
            <w:tcMar>
              <w:bottom w:w="0" w:type="dxa"/>
            </w:tcMar>
            <w:vAlign w:val="center"/>
          </w:tcPr>
          <w:p>
            <w:pPr>
              <w:pStyle w:val="TableContents"/>
              <w:bidi w:val="0"/>
              <w:spacing w:before="0" w:after="283"/>
              <w:jc w:val="left"/>
              <w:rPr/>
            </w:pPr>
            <w:r>
              <w:rPr/>
              <w:t> </w:t>
            </w:r>
          </w:p>
        </w:tc>
        <w:tc>
          <w:tcPr>
            <w:tcW w:w="3485" w:type="dxa"/>
            <w:tcBorders/>
            <w:tcMar>
              <w:bottom w:w="0" w:type="dxa"/>
            </w:tcMar>
            <w:vAlign w:val="center"/>
          </w:tcPr>
          <w:p>
            <w:pPr>
              <w:pStyle w:val="TableContents"/>
              <w:bidi w:val="0"/>
              <w:spacing w:before="0" w:after="283"/>
              <w:jc w:val="left"/>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sz w:val="20"/>
              </w:rPr>
            </w:pPr>
            <w:r>
              <w:rPr>
                <w:sz w:val="20"/>
              </w:rPr>
              <w:t>March 13, 2026</w:t>
            </w:r>
          </w:p>
        </w:tc>
      </w:tr>
      <w:tr>
        <w:trPr/>
        <w:tc>
          <w:tcPr>
            <w:tcW w:w="1745" w:type="dxa"/>
            <w:tcBorders/>
            <w:tcMar>
              <w:bottom w:w="0" w:type="dxa"/>
            </w:tcMar>
            <w:vAlign w:val="center"/>
          </w:tcPr>
          <w:p>
            <w:pPr>
              <w:pStyle w:val="TableContents"/>
              <w:bidi w:val="0"/>
              <w:spacing w:before="0" w:after="283"/>
              <w:jc w:val="center"/>
              <w:rPr>
                <w:b/>
                <w:sz w:val="20"/>
              </w:rPr>
            </w:pPr>
            <w:r>
              <w:rPr>
                <w:b/>
                <w:sz w:val="20"/>
              </w:rPr>
              <w:t xml:space="preserve">Arun S. Menawat </w:t>
            </w:r>
          </w:p>
        </w:tc>
        <w:tc>
          <w:tcPr>
            <w:tcW w:w="60" w:type="dxa"/>
            <w:tcBorders/>
            <w:tcMar>
              <w:bottom w:w="0" w:type="dxa"/>
            </w:tcMar>
            <w:vAlign w:val="center"/>
          </w:tcPr>
          <w:p>
            <w:pPr>
              <w:pStyle w:val="TableContents"/>
              <w:bidi w:val="0"/>
              <w:spacing w:before="0" w:after="283"/>
              <w:jc w:val="left"/>
              <w:rPr/>
            </w:pPr>
            <w:r>
              <w:rPr/>
              <w:t> </w:t>
            </w:r>
          </w:p>
        </w:tc>
        <w:tc>
          <w:tcPr>
            <w:tcW w:w="34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174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4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1745" w:type="dxa"/>
            <w:tcBorders>
              <w:bottom w:val="single" w:sz="8" w:space="0" w:color="000000"/>
            </w:tcBorders>
            <w:vAlign w:val="center"/>
          </w:tcPr>
          <w:p>
            <w:pPr>
              <w:pStyle w:val="TableContents"/>
              <w:bidi w:val="0"/>
              <w:spacing w:before="0" w:after="283"/>
              <w:jc w:val="center"/>
              <w:rPr>
                <w:i/>
                <w:sz w:val="20"/>
              </w:rPr>
            </w:pPr>
            <w:r>
              <w:rPr>
                <w:i/>
                <w:sz w:val="20"/>
              </w:rPr>
              <w:t>/s/ Nachum Shamir</w:t>
            </w:r>
          </w:p>
        </w:tc>
        <w:tc>
          <w:tcPr>
            <w:tcW w:w="60" w:type="dxa"/>
            <w:tcBorders/>
            <w:tcMar>
              <w:bottom w:w="0" w:type="dxa"/>
            </w:tcMar>
            <w:vAlign w:val="center"/>
          </w:tcPr>
          <w:p>
            <w:pPr>
              <w:pStyle w:val="TableContents"/>
              <w:bidi w:val="0"/>
              <w:spacing w:before="0" w:after="283"/>
              <w:jc w:val="left"/>
              <w:rPr/>
            </w:pPr>
            <w:r>
              <w:rPr/>
              <w:t> </w:t>
            </w:r>
          </w:p>
        </w:tc>
        <w:tc>
          <w:tcPr>
            <w:tcW w:w="3485" w:type="dxa"/>
            <w:tcBorders/>
            <w:tcMar>
              <w:bottom w:w="0" w:type="dxa"/>
            </w:tcMar>
            <w:vAlign w:val="center"/>
          </w:tcPr>
          <w:p>
            <w:pPr>
              <w:pStyle w:val="TableContents"/>
              <w:bidi w:val="0"/>
              <w:spacing w:before="0" w:after="283"/>
              <w:jc w:val="left"/>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sz w:val="20"/>
              </w:rPr>
            </w:pPr>
            <w:r>
              <w:rPr>
                <w:sz w:val="20"/>
              </w:rPr>
              <w:t>March 13, 2026</w:t>
            </w:r>
          </w:p>
        </w:tc>
      </w:tr>
      <w:tr>
        <w:trPr/>
        <w:tc>
          <w:tcPr>
            <w:tcW w:w="1745" w:type="dxa"/>
            <w:tcBorders/>
            <w:tcMar>
              <w:bottom w:w="0" w:type="dxa"/>
            </w:tcMar>
            <w:vAlign w:val="center"/>
          </w:tcPr>
          <w:p>
            <w:pPr>
              <w:pStyle w:val="TableContents"/>
              <w:bidi w:val="0"/>
              <w:spacing w:before="0" w:after="283"/>
              <w:jc w:val="center"/>
              <w:rPr>
                <w:b/>
                <w:sz w:val="20"/>
              </w:rPr>
            </w:pPr>
            <w:r>
              <w:rPr>
                <w:b/>
                <w:sz w:val="20"/>
              </w:rPr>
              <w:t>Nachum Shamir</w:t>
            </w:r>
          </w:p>
        </w:tc>
        <w:tc>
          <w:tcPr>
            <w:tcW w:w="60" w:type="dxa"/>
            <w:tcBorders/>
            <w:tcMar>
              <w:bottom w:w="0" w:type="dxa"/>
            </w:tcMar>
            <w:vAlign w:val="center"/>
          </w:tcPr>
          <w:p>
            <w:pPr>
              <w:pStyle w:val="TableContents"/>
              <w:bidi w:val="0"/>
              <w:spacing w:before="0" w:after="283"/>
              <w:jc w:val="left"/>
              <w:rPr/>
            </w:pPr>
            <w:r>
              <w:rPr/>
              <w:t> </w:t>
            </w:r>
          </w:p>
        </w:tc>
        <w:tc>
          <w:tcPr>
            <w:tcW w:w="34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II-5</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bookmarkStart w:id="31" w:name="ex1-3.htm"/>
      <w:bookmarkStart w:id="32" w:name="ksex13"/>
      <w:bookmarkEnd w:id="31"/>
      <w:bookmarkEnd w:id="32"/>
      <w:r>
        <w:rPr/>
        <w:t> </w:t>
      </w:r>
      <w:r>
        <w:br w:type="page"/>
      </w:r>
    </w:p>
    <w:p>
      <w:pPr>
        <w:pStyle w:val="TextBody"/>
        <w:bidi w:val="0"/>
        <w:spacing w:before="0" w:after="0"/>
        <w:ind w:left="0" w:right="0" w:hanging="0"/>
        <w:jc w:val="right"/>
        <w:rPr>
          <w:b/>
        </w:rPr>
      </w:pPr>
      <w:r>
        <w:rPr>
          <w:b/>
        </w:rPr>
        <w:t>Exhibit 1.3</w:t>
      </w:r>
    </w:p>
    <w:p>
      <w:pPr>
        <w:pStyle w:val="TextBody"/>
        <w:bidi w:val="0"/>
        <w:spacing w:before="0" w:after="0"/>
        <w:ind w:left="0" w:right="0" w:hanging="0"/>
        <w:jc w:val="righ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1 to Sales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13, 2026</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 Capital Partners,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888 San Clemente Drive, Suite 400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Newport Beach, CA 92660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Sales Agreement dated August 29, 2025 (the “Original Sales Agreement”) by and between Stereotaxis, Inc., a Delaware corporation (the “Company”) and Roth Capital Partners, LLC (the “Agent”). All capitalized terms not defined herein shall have the meanings ascribed to them in the Original Sales Agreement. The Company and the Agent desire to amend the Original Sales Agreement as set forth in this Amendment No. 1 thereto (this “Amendment”)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reference to “an aggregate offering price of up to $50,000,000” in the first paragraph of Section 1 of the Original Sales Agreement shall not include any aggregate price of the Common Stock sold prior to the effective date of this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second paragraph of Section 1 of the Original Sales Agreement shall be deleted in its entirety, and the following shall be inserted in lieu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Company has filed, in accordance with the provisions of the Securities Act of 1933, as amended, and the rules and regulations thereunder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with the Commission a registration statement on Form S-3, initially filed on March 13, 2026, including a base prospectus, relating to certain securities, including the Placement Shares to be issued from time to time by the Company, and which incorporates by reference documents that the Company has filed or will file in accordance with the provisions of the Securities Exchange Act of 1934, as amended, and the rules and regulations thereunder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The Company has prepared a prospectus specifically relating to the Placement Shares included as part of such registration statement. The Company will furnish to the Agent, for use by the Agent, copies of any prospectus included as part of such registration statement relating to the Placement Shares. Except where the context otherwise requires, such registration statement, and any post-effective amendment thereto,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of the Securities Act, or any subsequent registration statement on Form S-3 filed pursuant to Rule 415(a)(6) under the Securities Act by the Company to cover any Placement Shares, is herein called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The base prospectus, including all documents incorporated therein by reference, included in the Registration Statement, as it may be supplemented by any prospectus and/or prospectus supplement, in the form in which such prospectus and/or prospectus supplement have most recently been filed by the Company with the Commission pursuant to Rule 424(b) under the Securities Act, together with any then issued Issuer Free Writing Prospectus (defined below), is herein called the “</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Any reference herein to the Registration Statement, the Prospectus or any amendment or supplement thereto, shall be deemed to refer to and include the documents incorporated or deemed to be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(the “</w:t>
      </w:r>
      <w:r>
        <w:rPr>
          <w:rFonts w:ascii="Times New Roman;Times;Serif" w:hAnsi="Times New Roman;Times;Serif"/>
          <w:b w:val="false"/>
          <w:i w:val="false"/>
          <w:caps w:val="false"/>
          <w:smallCaps w:val="false"/>
          <w:sz w:val="20"/>
          <w:u w:val="single"/>
        </w:rPr>
        <w:t>Incorporated Documents</w:t>
      </w:r>
      <w:r>
        <w:rPr>
          <w:rFonts w:ascii="Times New Roman;Times;Serif" w:hAnsi="Times New Roman;Times;Serif"/>
          <w:b w:val="false"/>
          <w:i w:val="false"/>
          <w:caps w:val="false"/>
          <w:smallCaps w:val="false"/>
          <w:sz w:val="20"/>
        </w:rPr>
        <w:t>”). For purposes of this Agreement, all references to the Registration Statement, the Prospectus or to any amendment or supplement thereto shall be deemed to include any copy filed with the Commission pursuant to its Electronic Data Gathering Analysis and Retrieval System, or if applicable, the Interactive Data Electronic Application system when used by the Commission (collectively, “</w:t>
      </w:r>
      <w:r>
        <w:rPr>
          <w:rFonts w:ascii="Times New Roman;Times;Serif" w:hAnsi="Times New Roman;Times;Serif"/>
          <w:b w:val="false"/>
          <w:i w:val="false"/>
          <w:caps w:val="false"/>
          <w:smallCaps w:val="false"/>
          <w:sz w:val="20"/>
          <w:u w:val="single"/>
        </w:rPr>
        <w:t>EDGAR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effective date of this Amendment shall be the effectiveness date of the Company’s registration statement on Form S-3 initially filed with the Securities and Exchange Commission on March 13,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Except as specifically set forth herein, all other provisions of the Original Sales Agreement shall remain in full force and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This Amendment together with the Original Sales Agreement (including all exhibits attached hereto) constitutes the entire agreement and supersedes all other prior and contemporaneous agreements and undertakings, both written and oral, among the parties hereto with regard to the subject matter hereof. Neither this Amendment nor any term hereof may be amended except pursuant to a written instrument executed by the Company and the Agent.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THIS AMENDMENT AND ANY CLAIM, CONTROVERSY OR DISPUTE ARISING UNDER OR RELATED TO THIS AMENDMENT SHALL BE GOVERNED BY, AND CONSTRUED IN ACCORDANCE WITH THE LAWS OF, THE STATE OF NEW YORK WITHOUT REGARD TO ITS CHOICE OF LAW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This Amendment may be executed in two or more counterparts, each of which shall be deemed an original, but all of which together shall constitute one and the same instrument. Delivery of an executed amendment by one party to the other may be made by facsimile transmission or electronic transmission (e.g., PDF).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Blank]</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correctly sets forth the understanding between the Company and the Agent, please so indicate in the space provided below for that purpose, whereupon this Amendment shall constitute a binding amendment to the Original Sales Agreement between the Company and the Agent.</w:t>
      </w:r>
    </w:p>
    <w:p>
      <w:pPr>
        <w:pStyle w:val="TextBody"/>
        <w:bidi w:val="0"/>
        <w:spacing w:before="0" w:after="0"/>
        <w:ind w:left="0" w:right="0" w:firstLine="720"/>
        <w:jc w:val="both"/>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75"/>
        <w:gridCol w:w="590"/>
        <w:gridCol w:w="1955"/>
      </w:tblGrid>
      <w:tr>
        <w:trPr/>
        <w:tc>
          <w:tcPr>
            <w:tcW w:w="75" w:type="dxa"/>
            <w:tcBorders/>
            <w:vAlign w:val="center"/>
          </w:tcPr>
          <w:p>
            <w:pPr>
              <w:pStyle w:val="TableContents"/>
              <w:bidi w:val="0"/>
              <w:spacing w:before="0" w:after="283"/>
              <w:jc w:val="left"/>
              <w:rPr/>
            </w:pPr>
            <w:r>
              <w:rPr/>
              <w:t> </w:t>
            </w:r>
          </w:p>
        </w:tc>
        <w:tc>
          <w:tcPr>
            <w:tcW w:w="254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Very truly yours,</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545"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STEREOTAXIS, INC.</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David L. Fischel</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L. Fischel</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firstLine="720"/>
        <w:jc w:val="both"/>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75"/>
        <w:gridCol w:w="545"/>
        <w:gridCol w:w="3350"/>
      </w:tblGrid>
      <w:tr>
        <w:trPr/>
        <w:tc>
          <w:tcPr>
            <w:tcW w:w="75" w:type="dxa"/>
            <w:tcBorders/>
            <w:vAlign w:val="center"/>
          </w:tcPr>
          <w:p>
            <w:pPr>
              <w:pStyle w:val="TableContents"/>
              <w:bidi w:val="0"/>
              <w:spacing w:before="0" w:after="283"/>
              <w:jc w:val="left"/>
              <w:rPr/>
            </w:pPr>
            <w:r>
              <w:rPr/>
              <w:t> </w:t>
            </w:r>
          </w:p>
        </w:tc>
        <w:tc>
          <w:tcPr>
            <w:tcW w:w="389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ACCEPTED as of the date first-above written: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9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ROTH CAPITAL PARTNERS, LLC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3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Aaron M. Gurewitz</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Aaron M. Gurewitz</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&amp; Head of Investment Banking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Amendment No. 1 to Sales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jc w:val="left"/>
        <w:rPr/>
      </w:pPr>
      <w:bookmarkStart w:id="33" w:name="ex5-1.htm"/>
      <w:bookmarkStart w:id="34" w:name="ksex51"/>
      <w:bookmarkEnd w:id="33"/>
      <w:bookmarkEnd w:id="34"/>
      <w:r>
        <w:rPr/>
        <w:t> </w:t>
      </w:r>
      <w:r>
        <w:br w:type="page"/>
      </w:r>
    </w:p>
    <w:p>
      <w:pPr>
        <w:pStyle w:val="TextBody"/>
        <w:bidi w:val="0"/>
        <w:jc w:val="right"/>
        <w:rPr>
          <w:b/>
        </w:rPr>
      </w:pPr>
      <w:r>
        <w:rPr>
          <w:b/>
        </w:rPr>
        <w:t>Exhibit 5.1</w:t>
      </w:r>
    </w:p>
    <w:p>
      <w:pPr>
        <w:pStyle w:val="TextBody"/>
        <w:bidi w:val="0"/>
        <w:spacing w:before="0" w:after="283"/>
        <w:jc w:val="left"/>
        <w:rPr/>
      </w:pPr>
      <w:r>
        <w:rPr/>
        <w:t> </w:t>
      </w:r>
    </w:p>
    <w:tbl>
      <w:tblPr>
        <w:tblW w:w="5135" w:type="dxa"/>
        <w:jc w:val="left"/>
        <w:tblInd w:w="0" w:type="dxa"/>
        <w:tblLayout w:type="fixed"/>
        <w:tblCellMar>
          <w:top w:w="0" w:type="dxa"/>
          <w:left w:w="0" w:type="dxa"/>
          <w:bottom w:w="0" w:type="dxa"/>
          <w:right w:w="0" w:type="dxa"/>
        </w:tblCellMar>
      </w:tblPr>
      <w:tblGrid>
        <w:gridCol w:w="1550"/>
        <w:gridCol w:w="3585"/>
      </w:tblGrid>
      <w:tr>
        <w:trPr/>
        <w:tc>
          <w:tcPr>
            <w:tcW w:w="1550" w:type="dxa"/>
            <w:tcBorders/>
            <w:vAlign w:val="center"/>
          </w:tcPr>
          <w:p>
            <w:pPr>
              <w:pStyle w:val="TableContents"/>
              <w:bidi w:val="0"/>
              <w:spacing w:before="0" w:after="283"/>
              <w:jc w:val="left"/>
              <w:rPr/>
            </w:pPr>
            <w:r>
              <w:rPr/>
              <w:t>March 13, 2026</w:t>
            </w:r>
          </w:p>
        </w:tc>
        <w:tc>
          <w:tcPr>
            <w:tcW w:w="3585" w:type="dxa"/>
            <w:tcBorders/>
            <w:vAlign w:val="center"/>
          </w:tcPr>
          <w:p>
            <w:pPr>
              <w:pStyle w:val="TableContents"/>
              <w:bidi w:val="0"/>
              <w:spacing w:before="0" w:after="283"/>
              <w:jc w:val="right"/>
              <w:rPr/>
            </w:pPr>
            <w:r>
              <w:rPr/>
              <w:drawing>
                <wp:inline distT="0" distB="0" distL="0" distR="0">
                  <wp:extent cx="2266950" cy="15049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6"/>
                          <a:stretch>
                            <a:fillRect/>
                          </a:stretch>
                        </pic:blipFill>
                        <pic:spPr bwMode="auto">
                          <a:xfrm>
                            <a:off x="0" y="0"/>
                            <a:ext cx="2266950" cy="1504950"/>
                          </a:xfrm>
                          <a:prstGeom prst="rect">
                            <a:avLst/>
                          </a:prstGeom>
                        </pic:spPr>
                      </pic:pic>
                    </a:graphicData>
                  </a:graphic>
                </wp:inline>
              </w:drawing>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Stereotaxis, Inc.</w:t>
        <w:br/>
        <w:t>710 North Tucker Boulevard, Suite 110</w:t>
        <w:br/>
        <w:t>St. Louis, Missouri 63101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Registration Statement on Form S-3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special counsel to Stereotaxis,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 connection with a Registration Statement on Form S-3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being filed this date by the Company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relating to the issuance by the Company of up to an aggregate of $100,000,000 of (i) debt securities of the Company (the “</w:t>
      </w:r>
      <w:r>
        <w:rPr>
          <w:rFonts w:ascii="Times New Roman;Times;Serif" w:hAnsi="Times New Roman;Times;Serif"/>
          <w:b w:val="false"/>
          <w:i w:val="false"/>
          <w:caps w:val="false"/>
          <w:smallCaps w:val="false"/>
          <w:sz w:val="20"/>
          <w:u w:val="single"/>
        </w:rPr>
        <w:t>Debt Securities</w:t>
      </w:r>
      <w:r>
        <w:rPr>
          <w:rFonts w:ascii="Times New Roman;Times;Serif" w:hAnsi="Times New Roman;Times;Serif"/>
          <w:b w:val="false"/>
          <w:i w:val="false"/>
          <w:caps w:val="false"/>
          <w:smallCaps w:val="false"/>
          <w:sz w:val="20"/>
        </w:rPr>
        <w:t>”); (ii) shares of common stock of the Company, par value $0.001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(iii) shares of preferred stock of the Company, par value $0.001 per share (the “</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 (iv) warrants to purchase Common Stock, Preferred Stock, Debt Securities or any other securities of the Company covered by the Registration Statement (the “</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 (v) rights to purchase Common Stock, Preferred Stock, depositary shares, purchase contracts, or Warrants (the “</w:t>
      </w:r>
      <w:r>
        <w:rPr>
          <w:rFonts w:ascii="Times New Roman;Times;Serif" w:hAnsi="Times New Roman;Times;Serif"/>
          <w:b w:val="false"/>
          <w:i w:val="false"/>
          <w:caps w:val="false"/>
          <w:smallCaps w:val="false"/>
          <w:sz w:val="20"/>
          <w:u w:val="single"/>
        </w:rPr>
        <w:t>Rights</w:t>
      </w:r>
      <w:r>
        <w:rPr>
          <w:rFonts w:ascii="Times New Roman;Times;Serif" w:hAnsi="Times New Roman;Times;Serif"/>
          <w:b w:val="false"/>
          <w:i w:val="false"/>
          <w:caps w:val="false"/>
          <w:smallCaps w:val="false"/>
          <w:sz w:val="20"/>
        </w:rPr>
        <w:t>”); and (vi) units of the Company (the “</w:t>
      </w:r>
      <w:r>
        <w:rPr>
          <w:rFonts w:ascii="Times New Roman;Times;Serif" w:hAnsi="Times New Roman;Times;Serif"/>
          <w:b w:val="false"/>
          <w:i w:val="false"/>
          <w:caps w:val="false"/>
          <w:smallCaps w:val="false"/>
          <w:sz w:val="20"/>
          <w:u w:val="single"/>
        </w:rPr>
        <w:t>Units</w:t>
      </w:r>
      <w:r>
        <w:rPr>
          <w:rFonts w:ascii="Times New Roman;Times;Serif" w:hAnsi="Times New Roman;Times;Serif"/>
          <w:b w:val="false"/>
          <w:i w:val="false"/>
          <w:caps w:val="false"/>
          <w:smallCaps w:val="false"/>
          <w:sz w:val="20"/>
        </w:rPr>
        <w:t>”), consisting of one or more of Common Stock, Preferred Stock, Debt Securities, Warrants or Rights. The Debt Securities, the Common Stock, the Preferred Stock, the Warrants, the Rights and the Units are hereinafter referred to collectively as the “</w:t>
      </w:r>
      <w:r>
        <w:rPr>
          <w:rFonts w:ascii="Times New Roman;Times;Serif" w:hAnsi="Times New Roman;Times;Serif"/>
          <w:b w:val="false"/>
          <w:i w:val="false"/>
          <w:caps w:val="false"/>
          <w:smallCaps w:val="false"/>
          <w:sz w:val="20"/>
          <w:u w:val="single"/>
        </w:rPr>
        <w:t>Shelf Securities</w:t>
      </w:r>
      <w:r>
        <w:rPr>
          <w:rFonts w:ascii="Times New Roman;Times;Serif" w:hAnsi="Times New Roman;Times;Serif"/>
          <w:b w:val="false"/>
          <w:i w:val="false"/>
          <w:caps w:val="false"/>
          <w:smallCaps w:val="false"/>
          <w:sz w:val="20"/>
        </w:rPr>
        <w:t>.” The Shelf Securities may be issued and sold from time to time as set forth in the Registration Statement, any amendment thereto, and the base prospectus contained therein (the “</w:t>
      </w:r>
      <w:r>
        <w:rPr>
          <w:rFonts w:ascii="Times New Roman;Times;Serif" w:hAnsi="Times New Roman;Times;Serif"/>
          <w:b w:val="false"/>
          <w:i w:val="false"/>
          <w:caps w:val="false"/>
          <w:smallCaps w:val="false"/>
          <w:sz w:val="20"/>
          <w:u w:val="single"/>
        </w:rPr>
        <w:t>Base Prospectus</w:t>
      </w:r>
      <w:r>
        <w:rPr>
          <w:rFonts w:ascii="Times New Roman;Times;Serif" w:hAnsi="Times New Roman;Times;Serif"/>
          <w:b w:val="false"/>
          <w:i w:val="false"/>
          <w:caps w:val="false"/>
          <w:smallCaps w:val="false"/>
          <w:sz w:val="20"/>
        </w:rPr>
        <w:t>”) and any supplements thereto or term sheets to be filed pursuant to the rules and regulations promulgated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also contains a sales agreement prospectus (the “</w:t>
      </w:r>
      <w:r>
        <w:rPr>
          <w:rFonts w:ascii="Times New Roman;Times;Serif" w:hAnsi="Times New Roman;Times;Serif"/>
          <w:b w:val="false"/>
          <w:i w:val="false"/>
          <w:caps w:val="false"/>
          <w:smallCaps w:val="false"/>
          <w:sz w:val="20"/>
          <w:u w:val="single"/>
        </w:rPr>
        <w:t>ATM Prospectus</w:t>
      </w:r>
      <w:r>
        <w:rPr>
          <w:rFonts w:ascii="Times New Roman;Times;Serif" w:hAnsi="Times New Roman;Times;Serif"/>
          <w:b w:val="false"/>
          <w:i w:val="false"/>
          <w:caps w:val="false"/>
          <w:smallCaps w:val="false"/>
          <w:sz w:val="20"/>
        </w:rPr>
        <w:t>”) that relates to the sale by the Company of shares of Common Stock having an aggregate offering price of up to $50,000,000 (the “</w:t>
      </w:r>
      <w:r>
        <w:rPr>
          <w:rFonts w:ascii="Times New Roman;Times;Serif" w:hAnsi="Times New Roman;Times;Serif"/>
          <w:b w:val="false"/>
          <w:i w:val="false"/>
          <w:caps w:val="false"/>
          <w:smallCaps w:val="false"/>
          <w:sz w:val="20"/>
          <w:u w:val="single"/>
        </w:rPr>
        <w:t>ATM Shares</w:t>
      </w:r>
      <w:r>
        <w:rPr>
          <w:rFonts w:ascii="Times New Roman;Times;Serif" w:hAnsi="Times New Roman;Times;Serif"/>
          <w:b w:val="false"/>
          <w:i w:val="false"/>
          <w:caps w:val="false"/>
          <w:smallCaps w:val="false"/>
          <w:sz w:val="20"/>
        </w:rPr>
        <w:t>”) pursuant to that certain Sales Agreement dated as of August 29, 2025, as amended by that certain Amendment No. 1 to Sales Agreement, dated as of March 13, 2026 (as amended, the “</w:t>
      </w:r>
      <w:r>
        <w:rPr>
          <w:rFonts w:ascii="Times New Roman;Times;Serif" w:hAnsi="Times New Roman;Times;Serif"/>
          <w:b w:val="false"/>
          <w:i w:val="false"/>
          <w:caps w:val="false"/>
          <w:smallCaps w:val="false"/>
          <w:sz w:val="20"/>
          <w:u w:val="single"/>
        </w:rPr>
        <w:t>Sales Agreement</w:t>
      </w:r>
      <w:r>
        <w:rPr>
          <w:rFonts w:ascii="Times New Roman;Times;Serif" w:hAnsi="Times New Roman;Times;Serif"/>
          <w:b w:val="false"/>
          <w:i w:val="false"/>
          <w:caps w:val="false"/>
          <w:smallCaps w:val="false"/>
          <w:sz w:val="20"/>
        </w:rPr>
        <w:t xml:space="preserve">”) between the Company and </w:t>
      </w:r>
      <w:r>
        <w:rPr>
          <w:rFonts w:ascii="Times New Roman;Times;Serif" w:hAnsi="Times New Roman;Times;Serif"/>
          <w:b w:val="false"/>
          <w:i w:val="false"/>
          <w:caps w:val="false"/>
          <w:smallCaps w:val="false"/>
          <w:sz w:val="20"/>
          <w:shd w:fill="FFFFFF" w:val="clear"/>
        </w:rPr>
        <w:t>Roth Capital Partners, LLC, as sales agent (the “</w:t>
      </w:r>
      <w:r>
        <w:rPr>
          <w:rFonts w:ascii="Times New Roman;Times;Serif" w:hAnsi="Times New Roman;Times;Serif"/>
          <w:b w:val="false"/>
          <w:i w:val="false"/>
          <w:caps w:val="false"/>
          <w:smallCaps w:val="false"/>
          <w:sz w:val="20"/>
          <w:u w:val="single"/>
          <w:shd w:fill="FFFFFF" w:val="clear"/>
        </w:rPr>
        <w:t>Sales Agent</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will be issued under an indenture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to be entered into by the Company and a trustee (the “</w:t>
      </w:r>
      <w:r>
        <w:rPr>
          <w:rFonts w:ascii="Times New Roman;Times;Serif" w:hAnsi="Times New Roman;Times;Serif"/>
          <w:b w:val="false"/>
          <w:i w:val="false"/>
          <w:caps w:val="false"/>
          <w:smallCaps w:val="false"/>
          <w:sz w:val="20"/>
          <w:u w:val="single"/>
        </w:rPr>
        <w:t>Indenture Trustee</w:t>
      </w:r>
      <w:r>
        <w:rPr>
          <w:rFonts w:ascii="Times New Roman;Times;Serif" w:hAnsi="Times New Roman;Times;Serif"/>
          <w:b w:val="false"/>
          <w:i w:val="false"/>
          <w:caps w:val="false"/>
          <w:smallCaps w:val="false"/>
          <w:sz w:val="20"/>
        </w:rPr>
        <w:t>”) qualified to act as such under the Trust Indenture Act of 1939, as amended. The Warrants will be issued under one or more warrant agreements (each, a “</w:t>
      </w:r>
      <w:r>
        <w:rPr>
          <w:rFonts w:ascii="Times New Roman;Times;Serif" w:hAnsi="Times New Roman;Times;Serif"/>
          <w:b w:val="false"/>
          <w:i w:val="false"/>
          <w:caps w:val="false"/>
          <w:smallCaps w:val="false"/>
          <w:sz w:val="20"/>
          <w:u w:val="single"/>
        </w:rPr>
        <w:t>Warrant Agreement</w:t>
      </w:r>
      <w:r>
        <w:rPr>
          <w:rFonts w:ascii="Times New Roman;Times;Serif" w:hAnsi="Times New Roman;Times;Serif"/>
          <w:b w:val="false"/>
          <w:i w:val="false"/>
          <w:caps w:val="false"/>
          <w:smallCaps w:val="false"/>
          <w:sz w:val="20"/>
        </w:rPr>
        <w:t>”) between the Company and a warrant agent to be specified therein. The Rights will be issued under a rights agreement (the “</w:t>
      </w:r>
      <w:r>
        <w:rPr>
          <w:rFonts w:ascii="Times New Roman;Times;Serif" w:hAnsi="Times New Roman;Times;Serif"/>
          <w:b w:val="false"/>
          <w:i w:val="false"/>
          <w:caps w:val="false"/>
          <w:smallCaps w:val="false"/>
          <w:sz w:val="20"/>
          <w:u w:val="single"/>
        </w:rPr>
        <w:t>Rights Agreement</w:t>
      </w:r>
      <w:r>
        <w:rPr>
          <w:rFonts w:ascii="Times New Roman;Times;Serif" w:hAnsi="Times New Roman;Times;Serif"/>
          <w:b w:val="false"/>
          <w:i w:val="false"/>
          <w:caps w:val="false"/>
          <w:smallCaps w:val="false"/>
          <w:sz w:val="20"/>
        </w:rPr>
        <w:t>”) between the Company and a rights agent to be specified therein (the “Rights Agent”). The Units will be issued under a unit agreement (the “</w:t>
      </w:r>
      <w:r>
        <w:rPr>
          <w:rFonts w:ascii="Times New Roman;Times;Serif" w:hAnsi="Times New Roman;Times;Serif"/>
          <w:b w:val="false"/>
          <w:i w:val="false"/>
          <w:caps w:val="false"/>
          <w:smallCaps w:val="false"/>
          <w:sz w:val="20"/>
          <w:u w:val="single"/>
        </w:rPr>
        <w:t>Unit Agreement</w:t>
      </w:r>
      <w:r>
        <w:rPr>
          <w:rFonts w:ascii="Times New Roman;Times;Serif" w:hAnsi="Times New Roman;Times;Serif"/>
          <w:b w:val="false"/>
          <w:i w:val="false"/>
          <w:caps w:val="false"/>
          <w:smallCaps w:val="false"/>
          <w:sz w:val="20"/>
        </w:rPr>
        <w:t>”) between the Company and a unit agent to be specified therein (the “</w:t>
      </w:r>
      <w:r>
        <w:rPr>
          <w:rFonts w:ascii="Times New Roman;Times;Serif" w:hAnsi="Times New Roman;Times;Serif"/>
          <w:b w:val="false"/>
          <w:i w:val="false"/>
          <w:caps w:val="false"/>
          <w:smallCaps w:val="false"/>
          <w:sz w:val="20"/>
          <w:u w:val="single"/>
        </w:rPr>
        <w:t>Unit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3170" w:type="dxa"/>
        <w:jc w:val="left"/>
        <w:tblInd w:w="0" w:type="dxa"/>
        <w:tblLayout w:type="fixed"/>
        <w:tblCellMar>
          <w:top w:w="0" w:type="dxa"/>
          <w:left w:w="0" w:type="dxa"/>
          <w:bottom w:w="0" w:type="dxa"/>
          <w:right w:w="0" w:type="dxa"/>
        </w:tblCellMar>
      </w:tblPr>
      <w:tblGrid>
        <w:gridCol w:w="1325"/>
        <w:gridCol w:w="1845"/>
      </w:tblGrid>
      <w:tr>
        <w:trPr/>
        <w:tc>
          <w:tcPr>
            <w:tcW w:w="132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Stereotaxis,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13, 2026</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tc>
        <w:tc>
          <w:tcPr>
            <w:tcW w:w="1845" w:type="dxa"/>
            <w:tcBorders/>
            <w:vAlign w:val="center"/>
          </w:tcPr>
          <w:p>
            <w:pPr>
              <w:pStyle w:val="TableContents"/>
              <w:bidi w:val="0"/>
              <w:spacing w:before="0" w:after="283"/>
              <w:jc w:val="right"/>
              <w:rPr/>
            </w:pPr>
            <w:r>
              <w:rPr/>
              <w:drawing>
                <wp:inline distT="0" distB="0" distL="0" distR="0">
                  <wp:extent cx="1162050" cy="4857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7"/>
                          <a:stretch>
                            <a:fillRect/>
                          </a:stretch>
                        </pic:blipFill>
                        <pic:spPr bwMode="auto">
                          <a:xfrm>
                            <a:off x="0" y="0"/>
                            <a:ext cx="1162050" cy="485775"/>
                          </a:xfrm>
                          <a:prstGeom prst="rect">
                            <a:avLst/>
                          </a:prstGeom>
                        </pic:spPr>
                      </pic:pic>
                    </a:graphicData>
                  </a:graphic>
                </wp:inline>
              </w:drawing>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herewith, we have examined the Registration Statement, including the form of Indenture filed as Exhibit 4.2 thereto. We have also examined originals or copies, certified or otherwise identified to our satisfaction, of the Amended and Restated Certificate of Incorporation, as amended, and the Restated Bylaws of the Company and such other corporate records, agreements and instruments of the Company, certificates of public officials and officers of the Company, and such other documents, records and instruments, and we have made such legal and factual inquiries, as we have deemed necessary or appropriate as a basis for us to render the opinions hereinafter expressed. In our examination of the foregoing, we have assumed the genuineness of all signatures, the legal competence and capacity of natural persons, the authenticity of documents submitted to us as originals and the conformity with authentic original documents of all documents submitted to us as copies or by facsimile or other means of electronic transmission, or which we obtained from the Commission’s Electronic Data Gathering, Analysis and Retrieval system (“</w:t>
      </w:r>
      <w:r>
        <w:rPr>
          <w:rFonts w:ascii="Times New Roman;Times;Serif" w:hAnsi="Times New Roman;Times;Serif"/>
          <w:b w:val="false"/>
          <w:i w:val="false"/>
          <w:caps w:val="false"/>
          <w:smallCaps w:val="false"/>
          <w:sz w:val="20"/>
          <w:u w:val="single"/>
        </w:rPr>
        <w:t>EDGAR</w:t>
      </w:r>
      <w:r>
        <w:rPr>
          <w:rFonts w:ascii="Times New Roman;Times;Serif" w:hAnsi="Times New Roman;Times;Serif"/>
          <w:b w:val="false"/>
          <w:i w:val="false"/>
          <w:caps w:val="false"/>
          <w:smallCaps w:val="false"/>
          <w:sz w:val="20"/>
        </w:rPr>
        <w:t>”) or other sites maintained by a court or governmental authority or regulatory body and the authenticity of the originals of such latter documents. If any documents we examined in printed, word processed or similar form have been filed with the Commission on EDGAR or such court or governmental authority or regulatory body, we have assumed that the document so filed is identical to the document we examined except for formatting changes. When relevant facts were not independently established, we have relied without independent investigation as to matters of fact upon statements of governmental officials and upon representations made in or pursuant to the Registration Statement and certificates and statements of appropriate representatives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also have assumed that: (1) at the time of execution, authentication, issuance and delivery of the Debt Securities, the Indenture (a) will have been duly authorized, executed and delivered by the Company and the Indenture Trustee, (b) will be in full force and effect and will not have been terminated or rescinded by the Company or the Indenture Trustee and (c) will be the valid and legally binding obligation of the Indenture Trustee, enforceable against such party in accordance with its terms; (2) at the time of the execution, countersignature, issuance and delivery of any Warrants, the related Warrant Agreement (a) will have been duly authorized, executed and delivered by the Company and each of the other parties thereto, (b) will be in full force and effect and will not have been terminated or rescinded by the Company or any such other party and (c) will be the valid and legally binding obligation of each party thereto (other than the Company), enforceable against such party in accordance with its terms; (3) at the time of the execution, countersignature, issuance and delivery of the Rights, the related Rights Agreement (a) will have been duly authorized, executed and delivered by the Company and the Unit Agent, (b) will be in full force and effect and will not have been terminated or rescinded by the Company or the Unit Agent and (c) will be the valid and legally binding obligation of the Rights Agent, enforceable against such party in accordance with its terms; (4) at the time of the execution, countersignature, issuance and delivery of the Units, the related Unit Agreement (a) will have been duly authorized, executed and delivered by the Company and the Unit Agent, (b) will be in full force and effect and will not have been terminated or rescinded by the Company or the Unit Agent and (c) will be the valid and legally binding obligation of the Unit Agent, enforceable against such party in accordance with its terms; (5) at the time of issuance and sale of any of the Shelf Securities, the terms of the Shelf Securities, and their issuance and sale, will have been established so as not to violate any applicable law or result in a default under or breach of any agreement or instrument binding upon the Company, and so as to comply with any requirement or restriction imposed by any court or governmental body having jurisdiction over the Company; and (6) the Sales Agreement has been duly authorized by, has been duly executed and delivered by, and constitutes the valid and legally binding obligation of, the Sales Agent, enforceable against the Sales Agent in accordance with its terms, the signatory to the Sales Agreement on behalf of the Sales Agent has been duly authorized, and the Sales Agent is duly organized and validly existing and has the power and authority (corporate or other) to execute, deliver and perform the Sales Agreement.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3170" w:type="dxa"/>
        <w:jc w:val="left"/>
        <w:tblInd w:w="0" w:type="dxa"/>
        <w:tblLayout w:type="fixed"/>
        <w:tblCellMar>
          <w:top w:w="0" w:type="dxa"/>
          <w:left w:w="0" w:type="dxa"/>
          <w:bottom w:w="0" w:type="dxa"/>
          <w:right w:w="0" w:type="dxa"/>
        </w:tblCellMar>
      </w:tblPr>
      <w:tblGrid>
        <w:gridCol w:w="1325"/>
        <w:gridCol w:w="1845"/>
      </w:tblGrid>
      <w:tr>
        <w:trPr/>
        <w:tc>
          <w:tcPr>
            <w:tcW w:w="132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Stereotaxis,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13, 2026</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w:t>
            </w:r>
          </w:p>
        </w:tc>
        <w:tc>
          <w:tcPr>
            <w:tcW w:w="1845" w:type="dxa"/>
            <w:tcBorders/>
            <w:vAlign w:val="center"/>
          </w:tcPr>
          <w:p>
            <w:pPr>
              <w:pStyle w:val="TableContents"/>
              <w:bidi w:val="0"/>
              <w:spacing w:before="0" w:after="283"/>
              <w:jc w:val="right"/>
              <w:rPr/>
            </w:pPr>
            <w:r>
              <w:rPr/>
              <w:drawing>
                <wp:inline distT="0" distB="0" distL="0" distR="0">
                  <wp:extent cx="1162050" cy="4857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8"/>
                          <a:stretch>
                            <a:fillRect/>
                          </a:stretch>
                        </pic:blipFill>
                        <pic:spPr bwMode="auto">
                          <a:xfrm>
                            <a:off x="0" y="0"/>
                            <a:ext cx="1162050" cy="485775"/>
                          </a:xfrm>
                          <a:prstGeom prst="rect">
                            <a:avLst/>
                          </a:prstGeom>
                        </pic:spPr>
                      </pic:pic>
                    </a:graphicData>
                  </a:graphic>
                </wp:inline>
              </w:drawing>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in reliance thereon, and subject to the assumptions, comments, qualifications, limitations and exceptions stated herein and the effectiveness of the Registration Statement under the Securities Act, we are of the opinion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With respect to the shares of Common Stock (other than the ATM Shares), assuming the (a) taking by the Board of Directors of the Company or a duly constituted and acting committee of such board (such Board of Directors or committee being referred to herein as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of all necessary corporate action to authorize and approve the issuance of the Common Stock and (b) due issuance and delivery of the Common Stock upon payment therefor in accordance with the applicable definitive purchase, underwriting or similar agreement approved by the Board, or upon the exercise, conversion or exchange of any Shelf Securities, the Common Stock will be validly issued, fully paid and nonassessable. With respect to the ATM Shares, the ATM Shares have been duly authorized, and (a) when the Registration Statement has become effective under the Securities Act, and (b) when the ATM Shares have been issued and delivered by the Company against payment therefor in accordance with the terms of the Sales Agreement and as described in the Registration Statement and ATM Prospectus, the ATM Shares will be validly issued, fully paid and nonassessable.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With respect to the shares of Preferred Stock, assuming the (a) taking by the Board of all necessary corporate action to authorize and approve the issuance of the Preferred Stock and (b) due issuance and delivery of the Preferred Stock upon payment therefor in accordance with the applicable definitive purchase, underwriting or similar agreement approved by the Board, or upon the exercise, conversion or exchange of any Shelf Securities, the Preferred Stock will be validly issued, fully paid and nonassessable.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With respect to the Debt Securities, assuming the (a) taking of all necessary corporate action to authorize and approve the issuance and terms of any Debt Securities, the terms of the offering thereof and related matters and (b) due execution, authentication, issuance and delivery of such Debt Securities upon payment of the consideration therefor provided for in the applicable definitive purchase, underwriting or similar agreement approved by the Board and otherwise in accordance with the provisions of the Indenture, such Debt Securities will constitute valid and binding obligations of the Company enforceable against the Company in accordance with their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With respect to the Warrants, assuming the (a) taking of all necessary corporate action to authorize and approve the issuance and terms of the Warrants, the terms of the offering thereof and related matters and (b) due execution, countersignature, issuance and delivery of such Warrants upon payment of the consideration for such Warrants provided for in the applicable definitive purchase, underwriting or similar agreement approved by the Board and otherwise in accordance with the provisions of the applicable Warrant Agreement, such Warrants will constitute valid and binding obligations of the Company, enforceable against the Company in accordance with their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With respect to the Rights, assuming the (a) taking of all necessary corporate action to authorize and approve the issuance and terms of any Rights, the related Rights Agreements and any Shelf Securities which are components of the Rights, (b) due execution, countersignature (where applicable), authentication, issuance and delivery of the Rights, the Rights Agreements, and the Shelf Securities that are components of such Rights, in each case upon the payment of the consideration therefor provided for in the applicable definitive purchase, underwriting or similar agreement approved by the Board, and otherwise in accordance with the provisions of the applicable (i) Warrant Agreement, in the case of Warrants, and (ii) Indenture, in the case of Debt Securities, such Rights will be validly issued and will entitle the holders thereof to the rights specified in the Rights Agreements.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3170" w:type="dxa"/>
        <w:jc w:val="left"/>
        <w:tblInd w:w="0" w:type="dxa"/>
        <w:tblLayout w:type="fixed"/>
        <w:tblCellMar>
          <w:top w:w="0" w:type="dxa"/>
          <w:left w:w="0" w:type="dxa"/>
          <w:bottom w:w="0" w:type="dxa"/>
          <w:right w:w="0" w:type="dxa"/>
        </w:tblCellMar>
      </w:tblPr>
      <w:tblGrid>
        <w:gridCol w:w="1325"/>
        <w:gridCol w:w="1845"/>
      </w:tblGrid>
      <w:tr>
        <w:trPr/>
        <w:tc>
          <w:tcPr>
            <w:tcW w:w="132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Stereotaxis,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13, 2026</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4</w:t>
            </w:r>
          </w:p>
        </w:tc>
        <w:tc>
          <w:tcPr>
            <w:tcW w:w="1845" w:type="dxa"/>
            <w:tcBorders/>
            <w:vAlign w:val="center"/>
          </w:tcPr>
          <w:p>
            <w:pPr>
              <w:pStyle w:val="TableContents"/>
              <w:bidi w:val="0"/>
              <w:spacing w:before="0" w:after="283"/>
              <w:jc w:val="right"/>
              <w:rPr/>
            </w:pPr>
            <w:r>
              <w:rPr/>
              <w:drawing>
                <wp:inline distT="0" distB="0" distL="0" distR="0">
                  <wp:extent cx="1162050" cy="4857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9"/>
                          <a:stretch>
                            <a:fillRect/>
                          </a:stretch>
                        </pic:blipFill>
                        <pic:spPr bwMode="auto">
                          <a:xfrm>
                            <a:off x="0" y="0"/>
                            <a:ext cx="1162050" cy="485775"/>
                          </a:xfrm>
                          <a:prstGeom prst="rect">
                            <a:avLst/>
                          </a:prstGeom>
                        </pic:spPr>
                      </pic:pic>
                    </a:graphicData>
                  </a:graphic>
                </wp:inline>
              </w:drawing>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With respect to the Units, assuming the (a) taking of all necessary corporate action to authorize and approve the issuance, execution and terms of any Units, the related Unit Agreements and any Shelf Securities which are components of the Units, the terms of the offering thereof and related matters, (b) due execution, countersignature (where applicable), authentication, issuance and delivery of the Units, the Unit Agreements, and the Shelf Securities that are components of such Units, in each case upon the payment of the consideration therefor provided for in the applicable definitive purchase, underwriting or similar agreement approved by the Board, and otherwise in accordance with the provisions of the applicable (i) Warrant Agreement, in the case of Warrants, (ii) Rights Agreement, in the case of Rights, and (iii) Indenture, in the case of Debt Securities, such Units will be validly issued and will entitle the holders thereof to the rights specified in the Unit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assumptions, comments, qualifications, limitations and exceptions set forth above, the opinions set forth herein are further limited by, subject to and based upon the following assumptions, comments, qualifications, limitations and exceptions: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Our opinions herein reflect only the application of (i) the General Corporation Law of the State of Delaware (including the statutory provisions, all applicable provisions of the Delaware constitution and reported judicial decisions interpreting the foregoing) and (ii) the federal laws of the United States (excluding the federal securities laws, as to which we express no opinion). The opinions set forth herein are made as of the date hereof and are subject to, and may be limited by, future changes in the factual matters set forth herein, and we undertake no duty to advise you of the same. The opinions expressed herein are based upon the law in effect (and published or otherwise generally available) on the date hereof, and we assume no obligation to revise or supplement these opinions should such law be changed by legislative action, judicial decision or otherwise. In rendering our opinions, we have not considered, and hereby disclaim any opinion as to, the application or impact of any laws, cases, decisions, rules or regulations of any other jurisdiction, court or administrative agency.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Our opinions herein are subject to and may be limited by (i) applicable bankruptcy, insolvency, reorganization, receivership, moratorium and other similar laws affecting or relating to the rights and remedies of creditors generally including, without limitation, laws relating to fraudulent transfers or conveyances, preferences and equitable subordination; (ii) general principles of equity (regardless of whether considered in a proceeding in equity or at law); (iii) an implied covenant of good faith and fair dealing; (iv) requirements that a claim with respect to the Shelf Securities denominated other than in United States dollars (or a judgment denominated other than in United States dollars with respect to such a claim) be converted into United States dollars at a rate of exchange prevailing on a date determined pursuant to applicable law; and (v) governmental authority to limit, delay or prohibit the making of payments outside the United States or in foreign or composite currency.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Our opinions are further subject to the effect of generally applicable rules of law arising from statutes, judicial and administrative decisions, and the rules and regulations of governmental authorities that: (i) limit or affect the enforcement of provisions of a contract that purport to require waiver of the obligations of good faith, fair dealing, diligence and reasonableness; (ii) limit the availability of a remedy under certain circumstances where another remedy has been elected; (iii) limit the enforceability of provisions releasing, exculpating or exempting a party from, or requiring indemnification of a party for, liability for its own action or inaction, to the extent the action or inaction involves negligence, recklessness, willful misconduct or unlawful conduct; (iv) may, where less than all of the contract may be unenforceable, limit the enforceability of the balance of the contract to circumstances in which the unenforceable portion is not an essential part of the agreed exchange; and (v) govern and afford judicial discretion regarding the determination of damages and entitlement to attorneys’ fees.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3170" w:type="dxa"/>
        <w:jc w:val="left"/>
        <w:tblInd w:w="0" w:type="dxa"/>
        <w:tblLayout w:type="fixed"/>
        <w:tblCellMar>
          <w:top w:w="0" w:type="dxa"/>
          <w:left w:w="0" w:type="dxa"/>
          <w:bottom w:w="0" w:type="dxa"/>
          <w:right w:w="0" w:type="dxa"/>
        </w:tblCellMar>
      </w:tblPr>
      <w:tblGrid>
        <w:gridCol w:w="1325"/>
        <w:gridCol w:w="1845"/>
      </w:tblGrid>
      <w:tr>
        <w:trPr/>
        <w:tc>
          <w:tcPr>
            <w:tcW w:w="132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Stereotaxis,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13, 2026</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5</w:t>
            </w:r>
          </w:p>
        </w:tc>
        <w:tc>
          <w:tcPr>
            <w:tcW w:w="1845" w:type="dxa"/>
            <w:tcBorders/>
            <w:vAlign w:val="center"/>
          </w:tcPr>
          <w:p>
            <w:pPr>
              <w:pStyle w:val="TableContents"/>
              <w:bidi w:val="0"/>
              <w:spacing w:before="0" w:after="283"/>
              <w:jc w:val="right"/>
              <w:rPr/>
            </w:pPr>
            <w:r>
              <w:rPr/>
              <w:drawing>
                <wp:inline distT="0" distB="0" distL="0" distR="0">
                  <wp:extent cx="1162050" cy="4857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20"/>
                          <a:stretch>
                            <a:fillRect/>
                          </a:stretch>
                        </pic:blipFill>
                        <pic:spPr bwMode="auto">
                          <a:xfrm>
                            <a:off x="0" y="0"/>
                            <a:ext cx="1162050" cy="485775"/>
                          </a:xfrm>
                          <a:prstGeom prst="rect">
                            <a:avLst/>
                          </a:prstGeom>
                        </pic:spPr>
                      </pic:pic>
                    </a:graphicData>
                  </a:graphic>
                </wp:inline>
              </w:drawing>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We express no opinion as to the enforceability of any rights to indemnification or contribution provided for in any Indenture, Warrant Agreement, Rights Agreement, Unit Agreement or other agreement which are violative of public policy underlying any law, rule or regulation (including any federal or state securities law, rule or regulation) or the legality of such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We express no opinion as to the enforceability of (1) any provision in any Indenture, Warrant Agreement, Rights Agreement, Unit Agreement or other agreement purporting or attempting to (A) confer exclusive jurisdiction and/or venue upon certain courts or otherwise waive the defenses of </w:t>
      </w:r>
      <w:r>
        <w:rPr>
          <w:rFonts w:ascii="Times New Roman;Times;Serif" w:hAnsi="Times New Roman;Times;Serif"/>
          <w:b w:val="false"/>
          <w:i/>
          <w:caps w:val="false"/>
          <w:smallCaps w:val="false"/>
          <w:sz w:val="20"/>
        </w:rPr>
        <w:t>forum non conveniens</w:t>
      </w:r>
      <w:r>
        <w:rPr>
          <w:rFonts w:ascii="Times New Roman;Times;Serif" w:hAnsi="Times New Roman;Times;Serif"/>
          <w:b w:val="false"/>
          <w:i w:val="false"/>
          <w:caps w:val="false"/>
          <w:smallCaps w:val="false"/>
          <w:sz w:val="20"/>
        </w:rPr>
        <w:t xml:space="preserve"> or improper venue, (B) confer subject matter jurisdiction on a court not having independent grounds therefor, (C) modify or waive the requirements for effective service of process for any action that may be brought, (D) waive the right of the Company or any other person to a trial by jury, (E) provide that remedies are cumulative or that decisions by a party are conclusive, or (F) modify or waive the rights to notice, legal defenses, statutes of limitations or other benefits that cannot be waived under applicable law or (2) any choice of law provision of any Indenture, Warrant Agreement, Rights Agreement, Unit Agreement or other agreement relating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You have informed us that you intend to issue the Shelf Securities and the ATM Shares from time to time on a delayed or continuous basis, and this opinion is limited to the laws, including the rules and regulations, as in effect on the date hereof. We understand that prior to issuing any Shelf Securities or ATM Shares you will afford us an opportunity to review the operative documents pursuant to which such Shelf Securities or ATM Shares are to be issued (including the applicable prospectus supplement) and will file such supplement or amendment to this opinion (if any) as we may reasonably consider necessary or appropriate by reason of the terms of such Shelf Securities or ATM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render any opinions except as set forth above. We hereby consent to the filing of this opinion as an exhibit to the Registration Statement and to the use of our name under the caption “Legal Matters” in the Prospectus and the ATM Prospectus. We also consent to your filing copies of this opinion as an exhibit to the Registration Statement with agencies of such states as you deem necessary in the course of complying with the laws of such states regarding the offering and sale of the Shelf Securities and the ATM Shares. In giving such consent, we do not thereby concede that we are within the category of persons whose consent is required under Section 7 of the Act or the Rules and Regulations of the Commission thereunder.</w:t>
      </w:r>
    </w:p>
    <w:p>
      <w:pPr>
        <w:pStyle w:val="TextBody"/>
        <w:bidi w:val="0"/>
        <w:spacing w:before="0" w:after="0"/>
        <w:ind w:left="0" w:right="0" w:hanging="0"/>
        <w:jc w:val="both"/>
        <w:rPr>
          <w:caps w:val="false"/>
          <w:smallCaps w:val="false"/>
        </w:rPr>
      </w:pPr>
      <w:r>
        <w:rPr>
          <w:caps w:val="false"/>
          <w:smallCaps w:val="false"/>
        </w:rPr>
        <w:t> </w:t>
      </w:r>
    </w:p>
    <w:tbl>
      <w:tblPr>
        <w:tblW w:w="3901" w:type="dxa"/>
        <w:jc w:val="left"/>
        <w:tblInd w:w="0" w:type="dxa"/>
        <w:tblLayout w:type="fixed"/>
        <w:tblCellMar>
          <w:top w:w="0" w:type="dxa"/>
          <w:left w:w="0" w:type="dxa"/>
          <w:bottom w:w="0" w:type="dxa"/>
          <w:right w:w="0" w:type="dxa"/>
        </w:tblCellMar>
      </w:tblPr>
      <w:tblGrid>
        <w:gridCol w:w="3863"/>
        <w:gridCol w:w="38"/>
      </w:tblGrid>
      <w:tr>
        <w:trPr/>
        <w:tc>
          <w:tcPr>
            <w:tcW w:w="386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ableContents"/>
              <w:bidi w:val="0"/>
              <w:spacing w:before="0" w:after="0"/>
              <w:ind w:left="108" w:right="108" w:hanging="0"/>
              <w:jc w:val="both"/>
              <w:rPr>
                <w:caps w:val="false"/>
                <w:smallCaps w:val="false"/>
              </w:rPr>
            </w:pPr>
            <w:r>
              <w:rPr>
                <w:caps w:val="false"/>
                <w:smallCaps w:val="false"/>
              </w:rPr>
              <w:t> </w:t>
            </w:r>
          </w:p>
          <w:p>
            <w:pPr>
              <w:pStyle w:val="TableContents"/>
              <w:bidi w:val="0"/>
              <w:spacing w:before="0" w:after="0"/>
              <w:ind w:left="108" w:right="108"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BRYAN CAVE LEIGHTON PAISNER LLP</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20" w:right="0" w:hanging="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caps w:val="false"/>
          <w:smallCaps w:val="false"/>
        </w:rPr>
      </w:pPr>
      <w:bookmarkStart w:id="35" w:name="ex23-1.htm"/>
      <w:bookmarkStart w:id="36" w:name="ksex231"/>
      <w:bookmarkEnd w:id="35"/>
      <w:bookmarkEnd w:id="3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We consent to the reference to our firm under the caption “Experts” in the Registration Statement (Form S-3) and related base prospectus of Stereotaxis, Inc. for the registration of up to $100,000,000 of its debt securities, common stock, preferred stock, warrants, rights or units and separately the related sales agreement prospectus for the registration of up to $50,000,000 of its common stock and to the incorporation by reference therein of our report dated March 12, 2026, with respect to the consolidated financial statements of Stereotaxis, Inc. included in its Annual Report (Form 10-K) for the year ended December 31, 2025, and the financial statement schedule of Stereotaxis, Inc., included therein, filed with the Securities and Exchange Commission.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tbl>
      <w:tblPr>
        <w:tblW w:w="1955" w:type="dxa"/>
        <w:jc w:val="left"/>
        <w:tblInd w:w="0" w:type="dxa"/>
        <w:tblLayout w:type="fixed"/>
        <w:tblCellMar>
          <w:top w:w="0" w:type="dxa"/>
          <w:left w:w="0" w:type="dxa"/>
          <w:bottom w:w="0" w:type="dxa"/>
          <w:right w:w="0" w:type="dxa"/>
        </w:tblCellMar>
      </w:tblPr>
      <w:tblGrid>
        <w:gridCol w:w="75"/>
        <w:gridCol w:w="1880"/>
      </w:tblGrid>
      <w:tr>
        <w:trPr/>
        <w:tc>
          <w:tcPr>
            <w:tcW w:w="75"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sz w:val="20"/>
              </w:rPr>
            </w:pPr>
            <w:r>
              <w:rPr>
                <w:sz w:val="20"/>
              </w:rPr>
              <w:t>/s/ Ernst &amp; Young LLP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 Louis, Missouri</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13, 2026</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7" w:name="ex107.htm"/>
      <w:bookmarkStart w:id="38" w:name="ksex107"/>
      <w:bookmarkStart w:id="39" w:name="ex107.htm"/>
      <w:bookmarkStart w:id="40" w:name="ksex107"/>
      <w:bookmarkEnd w:id="39"/>
      <w:bookmarkEnd w:id="40"/>
      <w:r>
        <w:br w:type="page"/>
      </w:r>
    </w:p>
    <w:tbl>
      <w:tblPr>
        <w:tblW w:w="3561" w:type="dxa"/>
        <w:jc w:val="left"/>
        <w:tblInd w:w="0" w:type="dxa"/>
        <w:tblLayout w:type="fixed"/>
        <w:tblCellMar>
          <w:top w:w="28" w:type="dxa"/>
          <w:left w:w="28" w:type="dxa"/>
          <w:bottom w:w="28" w:type="dxa"/>
          <w:right w:w="28" w:type="dxa"/>
        </w:tblCellMar>
      </w:tblPr>
      <w:tblGrid>
        <w:gridCol w:w="3407"/>
        <w:gridCol w:w="154"/>
      </w:tblGrid>
      <w:tr>
        <w:trPr/>
        <w:tc>
          <w:tcPr>
            <w:tcW w:w="3561"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07"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07" w:type="dxa"/>
            <w:tcBorders/>
            <w:vAlign w:val="center"/>
          </w:tcPr>
          <w:p>
            <w:pPr>
              <w:pStyle w:val="TableContents"/>
              <w:bidi w:val="0"/>
              <w:spacing w:before="0" w:after="283"/>
              <w:jc w:val="left"/>
              <w:rPr>
                <w:b/>
              </w:rPr>
            </w:pPr>
            <w:r>
              <w:rPr>
                <w:b/>
              </w:rPr>
              <w:t xml:space="preserve">Stereotaxis,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884" w:type="dxa"/>
        <w:jc w:val="left"/>
        <w:tblInd w:w="0" w:type="dxa"/>
        <w:tblLayout w:type="fixed"/>
        <w:tblCellMar>
          <w:top w:w="28" w:type="dxa"/>
          <w:left w:w="28" w:type="dxa"/>
          <w:bottom w:w="28" w:type="dxa"/>
          <w:right w:w="28" w:type="dxa"/>
        </w:tblCellMar>
      </w:tblPr>
      <w:tblGrid>
        <w:gridCol w:w="1126"/>
        <w:gridCol w:w="226"/>
        <w:gridCol w:w="1246"/>
        <w:gridCol w:w="1021"/>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12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2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88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Common Stock, $0.001 par value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Preferred Stock, $0.001 par value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Debt </w:t>
            </w:r>
          </w:p>
        </w:tc>
        <w:tc>
          <w:tcPr>
            <w:tcW w:w="1021" w:type="dxa"/>
            <w:tcBorders/>
            <w:shd w:fill="E7E7E2" w:val="clear"/>
            <w:vAlign w:val="center"/>
          </w:tcPr>
          <w:p>
            <w:pPr>
              <w:pStyle w:val="TableContents"/>
              <w:bidi w:val="0"/>
              <w:spacing w:before="0" w:after="283"/>
              <w:jc w:val="left"/>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021"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021" w:type="dxa"/>
            <w:tcBorders/>
            <w:shd w:fill="E7E7E2" w:val="clear"/>
            <w:vAlign w:val="center"/>
          </w:tcPr>
          <w:p>
            <w:pPr>
              <w:pStyle w:val="TableContents"/>
              <w:bidi w:val="0"/>
              <w:spacing w:before="0" w:after="283"/>
              <w:jc w:val="left"/>
              <w:rPr/>
            </w:pPr>
            <w:r>
              <w:rPr/>
              <w:t xml:space="preserve">Rights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021" w:type="dxa"/>
            <w:tcBorders/>
            <w:shd w:fill="E7E7E2" w:val="clear"/>
            <w:vAlign w:val="center"/>
          </w:tcPr>
          <w:p>
            <w:pPr>
              <w:pStyle w:val="TableContents"/>
              <w:bidi w:val="0"/>
              <w:spacing w:before="0" w:after="283"/>
              <w:jc w:val="left"/>
              <w:rPr/>
            </w:pPr>
            <w:r>
              <w:rPr/>
              <w:t xml:space="preserve">Units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1246" w:type="dxa"/>
            <w:tcBorders/>
            <w:shd w:fill="E7E7E2" w:val="clear"/>
            <w:vAlign w:val="center"/>
          </w:tcPr>
          <w:p>
            <w:pPr>
              <w:pStyle w:val="TableContents"/>
              <w:bidi w:val="0"/>
              <w:spacing w:before="0" w:after="283"/>
              <w:jc w:val="left"/>
              <w:rPr/>
            </w:pPr>
            <w:r>
              <w:rPr/>
              <w:t xml:space="preserve">Unallocated (Universal) Shelf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$ 70,360,696.00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$ 9,716.81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88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Common Stock, $0.001 par value </w:t>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S-3 </w:t>
            </w:r>
          </w:p>
        </w:tc>
        <w:tc>
          <w:tcPr>
            <w:tcW w:w="1021" w:type="dxa"/>
            <w:tcBorders/>
            <w:shd w:fill="E7E7E2" w:val="clear"/>
            <w:vAlign w:val="center"/>
          </w:tcPr>
          <w:p>
            <w:pPr>
              <w:pStyle w:val="TableContents"/>
              <w:bidi w:val="0"/>
              <w:spacing w:before="0" w:after="283"/>
              <w:jc w:val="center"/>
              <w:rPr/>
            </w:pPr>
            <w:r>
              <w:rPr/>
              <w:t xml:space="preserve">333-272102 </w:t>
            </w:r>
          </w:p>
        </w:tc>
        <w:tc>
          <w:tcPr>
            <w:tcW w:w="1021" w:type="dxa"/>
            <w:tcBorders/>
            <w:shd w:fill="E7E7E2" w:val="clear"/>
            <w:vAlign w:val="center"/>
          </w:tcPr>
          <w:p>
            <w:pPr>
              <w:pStyle w:val="TableContents"/>
              <w:bidi w:val="0"/>
              <w:spacing w:before="0" w:after="283"/>
              <w:jc w:val="center"/>
              <w:rPr/>
            </w:pPr>
            <w:r>
              <w:rPr/>
              <w:t xml:space="preserve">06/06/2023 </w:t>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Preferred Stock, $0.001 par value </w:t>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S-3 </w:t>
            </w:r>
          </w:p>
        </w:tc>
        <w:tc>
          <w:tcPr>
            <w:tcW w:w="1021" w:type="dxa"/>
            <w:tcBorders/>
            <w:shd w:fill="E7E7E2" w:val="clear"/>
            <w:vAlign w:val="center"/>
          </w:tcPr>
          <w:p>
            <w:pPr>
              <w:pStyle w:val="TableContents"/>
              <w:bidi w:val="0"/>
              <w:spacing w:before="0" w:after="283"/>
              <w:jc w:val="center"/>
              <w:rPr/>
            </w:pPr>
            <w:r>
              <w:rPr/>
              <w:t xml:space="preserve">333-272102 </w:t>
            </w:r>
          </w:p>
        </w:tc>
        <w:tc>
          <w:tcPr>
            <w:tcW w:w="1021" w:type="dxa"/>
            <w:tcBorders/>
            <w:shd w:fill="E7E7E2" w:val="clear"/>
            <w:vAlign w:val="center"/>
          </w:tcPr>
          <w:p>
            <w:pPr>
              <w:pStyle w:val="TableContents"/>
              <w:bidi w:val="0"/>
              <w:spacing w:before="0" w:after="283"/>
              <w:jc w:val="center"/>
              <w:rPr/>
            </w:pPr>
            <w:r>
              <w:rPr/>
              <w:t xml:space="preserve">06/06/2023 </w:t>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Debt </w:t>
            </w:r>
          </w:p>
        </w:tc>
        <w:tc>
          <w:tcPr>
            <w:tcW w:w="1021" w:type="dxa"/>
            <w:tcBorders/>
            <w:shd w:fill="E7E7E2" w:val="clear"/>
            <w:vAlign w:val="center"/>
          </w:tcPr>
          <w:p>
            <w:pPr>
              <w:pStyle w:val="TableContents"/>
              <w:bidi w:val="0"/>
              <w:spacing w:before="0" w:after="283"/>
              <w:jc w:val="left"/>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S-3 </w:t>
            </w:r>
          </w:p>
        </w:tc>
        <w:tc>
          <w:tcPr>
            <w:tcW w:w="1021" w:type="dxa"/>
            <w:tcBorders/>
            <w:shd w:fill="E7E7E2" w:val="clear"/>
            <w:vAlign w:val="center"/>
          </w:tcPr>
          <w:p>
            <w:pPr>
              <w:pStyle w:val="TableContents"/>
              <w:bidi w:val="0"/>
              <w:spacing w:before="0" w:after="283"/>
              <w:jc w:val="center"/>
              <w:rPr/>
            </w:pPr>
            <w:r>
              <w:rPr/>
              <w:t xml:space="preserve">333-272102 </w:t>
            </w:r>
          </w:p>
        </w:tc>
        <w:tc>
          <w:tcPr>
            <w:tcW w:w="1021" w:type="dxa"/>
            <w:tcBorders/>
            <w:shd w:fill="E7E7E2" w:val="clear"/>
            <w:vAlign w:val="center"/>
          </w:tcPr>
          <w:p>
            <w:pPr>
              <w:pStyle w:val="TableContents"/>
              <w:bidi w:val="0"/>
              <w:spacing w:before="0" w:after="283"/>
              <w:jc w:val="center"/>
              <w:rPr/>
            </w:pPr>
            <w:r>
              <w:rPr/>
              <w:t xml:space="preserve">06/06/2023 </w:t>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021"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S-3 </w:t>
            </w:r>
          </w:p>
        </w:tc>
        <w:tc>
          <w:tcPr>
            <w:tcW w:w="1021" w:type="dxa"/>
            <w:tcBorders/>
            <w:shd w:fill="E7E7E2" w:val="clear"/>
            <w:vAlign w:val="center"/>
          </w:tcPr>
          <w:p>
            <w:pPr>
              <w:pStyle w:val="TableContents"/>
              <w:bidi w:val="0"/>
              <w:spacing w:before="0" w:after="283"/>
              <w:jc w:val="center"/>
              <w:rPr/>
            </w:pPr>
            <w:r>
              <w:rPr/>
              <w:t xml:space="preserve">333-272102 </w:t>
            </w:r>
          </w:p>
        </w:tc>
        <w:tc>
          <w:tcPr>
            <w:tcW w:w="1021" w:type="dxa"/>
            <w:tcBorders/>
            <w:shd w:fill="E7E7E2" w:val="clear"/>
            <w:vAlign w:val="center"/>
          </w:tcPr>
          <w:p>
            <w:pPr>
              <w:pStyle w:val="TableContents"/>
              <w:bidi w:val="0"/>
              <w:spacing w:before="0" w:after="283"/>
              <w:jc w:val="center"/>
              <w:rPr/>
            </w:pPr>
            <w:r>
              <w:rPr/>
              <w:t xml:space="preserve">06/06/2023 </w:t>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021" w:type="dxa"/>
            <w:tcBorders/>
            <w:shd w:fill="E7E7E2" w:val="clear"/>
            <w:vAlign w:val="center"/>
          </w:tcPr>
          <w:p>
            <w:pPr>
              <w:pStyle w:val="TableContents"/>
              <w:bidi w:val="0"/>
              <w:spacing w:before="0" w:after="283"/>
              <w:jc w:val="left"/>
              <w:rPr/>
            </w:pPr>
            <w:r>
              <w:rPr/>
              <w:t xml:space="preserve">Rights </w:t>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S-3 </w:t>
            </w:r>
          </w:p>
        </w:tc>
        <w:tc>
          <w:tcPr>
            <w:tcW w:w="1021" w:type="dxa"/>
            <w:tcBorders/>
            <w:shd w:fill="E7E7E2" w:val="clear"/>
            <w:vAlign w:val="center"/>
          </w:tcPr>
          <w:p>
            <w:pPr>
              <w:pStyle w:val="TableContents"/>
              <w:bidi w:val="0"/>
              <w:spacing w:before="0" w:after="283"/>
              <w:jc w:val="center"/>
              <w:rPr/>
            </w:pPr>
            <w:r>
              <w:rPr/>
              <w:t xml:space="preserve">333-272102 </w:t>
            </w:r>
          </w:p>
        </w:tc>
        <w:tc>
          <w:tcPr>
            <w:tcW w:w="1021" w:type="dxa"/>
            <w:tcBorders/>
            <w:shd w:fill="E7E7E2" w:val="clear"/>
            <w:vAlign w:val="center"/>
          </w:tcPr>
          <w:p>
            <w:pPr>
              <w:pStyle w:val="TableContents"/>
              <w:bidi w:val="0"/>
              <w:spacing w:before="0" w:after="283"/>
              <w:jc w:val="center"/>
              <w:rPr/>
            </w:pPr>
            <w:r>
              <w:rPr/>
              <w:t xml:space="preserve">06/06/2023 </w:t>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021" w:type="dxa"/>
            <w:tcBorders/>
            <w:shd w:fill="E7E7E2" w:val="clear"/>
            <w:vAlign w:val="center"/>
          </w:tcPr>
          <w:p>
            <w:pPr>
              <w:pStyle w:val="TableContents"/>
              <w:bidi w:val="0"/>
              <w:spacing w:before="0" w:after="283"/>
              <w:jc w:val="left"/>
              <w:rPr/>
            </w:pPr>
            <w:r>
              <w:rPr/>
              <w:t xml:space="preserve">Units </w:t>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S-3 </w:t>
            </w:r>
          </w:p>
        </w:tc>
        <w:tc>
          <w:tcPr>
            <w:tcW w:w="1021" w:type="dxa"/>
            <w:tcBorders/>
            <w:shd w:fill="E7E7E2" w:val="clear"/>
            <w:vAlign w:val="center"/>
          </w:tcPr>
          <w:p>
            <w:pPr>
              <w:pStyle w:val="TableContents"/>
              <w:bidi w:val="0"/>
              <w:spacing w:before="0" w:after="283"/>
              <w:jc w:val="center"/>
              <w:rPr/>
            </w:pPr>
            <w:r>
              <w:rPr/>
              <w:t xml:space="preserve">333-272102 </w:t>
            </w:r>
          </w:p>
        </w:tc>
        <w:tc>
          <w:tcPr>
            <w:tcW w:w="1021" w:type="dxa"/>
            <w:tcBorders/>
            <w:shd w:fill="E7E7E2" w:val="clear"/>
            <w:vAlign w:val="center"/>
          </w:tcPr>
          <w:p>
            <w:pPr>
              <w:pStyle w:val="TableContents"/>
              <w:bidi w:val="0"/>
              <w:spacing w:before="0" w:after="283"/>
              <w:jc w:val="center"/>
              <w:rPr/>
            </w:pPr>
            <w:r>
              <w:rPr/>
              <w:t xml:space="preserve">06/06/2023 </w:t>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pPr>
            <w:r>
              <w:rPr/>
              <w:t xml:space="preserve">Unallocated (Universal) Shelf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$ 79,639,304.00 </w:t>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S-3 </w:t>
            </w:r>
          </w:p>
        </w:tc>
        <w:tc>
          <w:tcPr>
            <w:tcW w:w="1021" w:type="dxa"/>
            <w:tcBorders/>
            <w:shd w:fill="E7E7E2" w:val="clear"/>
            <w:vAlign w:val="center"/>
          </w:tcPr>
          <w:p>
            <w:pPr>
              <w:pStyle w:val="TableContents"/>
              <w:bidi w:val="0"/>
              <w:spacing w:before="0" w:after="283"/>
              <w:jc w:val="center"/>
              <w:rPr/>
            </w:pPr>
            <w:r>
              <w:rPr/>
              <w:t xml:space="preserve">333-272102 </w:t>
            </w:r>
          </w:p>
        </w:tc>
        <w:tc>
          <w:tcPr>
            <w:tcW w:w="1021" w:type="dxa"/>
            <w:tcBorders/>
            <w:shd w:fill="E7E7E2" w:val="clear"/>
            <w:vAlign w:val="center"/>
          </w:tcPr>
          <w:p>
            <w:pPr>
              <w:pStyle w:val="TableContents"/>
              <w:bidi w:val="0"/>
              <w:spacing w:before="0" w:after="283"/>
              <w:jc w:val="center"/>
              <w:rPr/>
            </w:pPr>
            <w:r>
              <w:rPr/>
              <w:t xml:space="preserve">06/06/2023 </w:t>
            </w:r>
          </w:p>
        </w:tc>
        <w:tc>
          <w:tcPr>
            <w:tcW w:w="1321" w:type="dxa"/>
            <w:tcBorders/>
            <w:shd w:fill="E7E7E2" w:val="clear"/>
            <w:vAlign w:val="center"/>
          </w:tcPr>
          <w:p>
            <w:pPr>
              <w:pStyle w:val="TableContents"/>
              <w:bidi w:val="0"/>
              <w:spacing w:before="0" w:after="283"/>
              <w:jc w:val="right"/>
              <w:rPr/>
            </w:pPr>
            <w:r>
              <w:rPr/>
              <w:t xml:space="preserve">$ 8,919.60 </w:t>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41" w:name="MaxAggtOfferingPrice"/>
            <w:bookmarkEnd w:id="41"/>
            <w:r>
              <w:rPr/>
              <w:t xml:space="preserve">$ 150,000,000.00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42" w:name="TotalFeeAmt"/>
            <w:bookmarkEnd w:id="42"/>
            <w:r>
              <w:rPr/>
              <w:t xml:space="preserve">$ 9,716.81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3" w:name="TotalPreviouslyPaidAmt"/>
            <w:bookmarkEnd w:id="43"/>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4" w:name="TotalOffsetAmt"/>
            <w:bookmarkEnd w:id="44"/>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5" w:name="NetFeeAmt"/>
            <w:bookmarkEnd w:id="45"/>
            <w:r>
              <w:rPr/>
              <w:t xml:space="preserve">$ 9,716.81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7"/>
        <w:gridCol w:w="1299"/>
        <w:gridCol w:w="8709"/>
      </w:tblGrid>
      <w:tr>
        <w:trPr/>
        <w:tc>
          <w:tcPr>
            <w:tcW w:w="197"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8" w:type="dxa"/>
            <w:gridSpan w:val="2"/>
            <w:tcBorders/>
            <w:vAlign w:val="center"/>
          </w:tcPr>
          <w:p>
            <w:pPr>
              <w:pStyle w:val="TableContents"/>
              <w:bidi w:val="0"/>
              <w:spacing w:before="0" w:after="283"/>
              <w:jc w:val="left"/>
              <w:rPr/>
            </w:pPr>
            <w:r>
              <w:rPr/>
              <w:t xml:space="preserve">(1) There are being registered hereunder such indeterminate number of shares of common stock and preferred stock of Stereotaxis, Inc. ("Stereotaxis"), such indeterminate number of debt securities or warrants to purchase common stock or preferred stock of Stereotaxis, and such indeterminate number of units comprised of the foregoing securities as shall have an aggregate initial offering price not to exceed $150,000,000. (2) The proposed maximum offering price per unit or share will be determined from time to time by Stereotaxis in connection with the issuance by Stereotaxis of securities registered hereunder, and is not specified as to each class of securities pursuant to General Instruction II.D of Form S-3. (3) Estimated solely for purposes of calculating the registration fee in accordance with Rule 457(o) under the Securities Act of 1933 and exclusive of accrued interest and dividends, if any. (4) Stereotaxis previously registered securities on Form S-3 (File No. 333-272102) filed on May 19, 2023, and declared effective on June 6, 2023 (the "Prior Registration Statement"), for which Stereotaxis paid a registration fee, some of which securities remain unsold as of the date hereof. Stereotaxis is hereby newly registering $70,360,696 of securities on this Registration Statement. Stereotaxis is also including the remaining unsold securities of $79,639,304 from the Prior Registration Statement in this Registration Statement pursuant to Rule 415(a)(6) under the Securities Act ("Rule 415(a)(6)"). The registration fee of $8,919.60 relating to the $79,639,304 of unsold securities included in this Registration Statement pursuant to Rule 415(a)(6) will continue to be applied to those unsold securities registered pursuant to this Registration Statement, and no additional registration fee is being paid. To the extent that, after the filing date hereof and prior to the effectiveness of this Registration Statement, Stereotaxis sells any such unsold securities under the Prior Registration Statement, Stereotaxis will identify in a pre-effective amendment to this Registration Statement the updated number of such unsold securities from the Prior Registration Statement to be included in this Registration Statement pursuant to Rule 415(a)(6) and the updated amount of new securities to be registered on this Registration Statement. Pursuant to Rule 415(a)(6), the offering of such unsold securities under the Prior Registration Statement will be deemed terminated as of the date of effectiveness of this Registration Statement. (5) Also includes such indeterminate number of shares of common stock or preferred stock or amount of debt securities as may be issued upon conversion of or exchange for any debt securities or preferred stock that provide for conversion into or exchange for other securities. No separate consideration will be received for the common stock or preferred stock or amount of debt securities issuable upon such conversion or exchange. Also includes such indeterminate number of shares of common stock or preferred stock or other securities of Stereotaxis to be issuable by Stereotaxis upon settlement of warrants. (6) The warrants may be combined with common stock, preferred stock or debt securities registered under this Registration Statement and sold as units. (7) Each unit consists of any combination of two or more of the securities registered hereby.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2107" w:type="dxa"/>
        <w:jc w:val="left"/>
        <w:tblInd w:w="0" w:type="dxa"/>
        <w:tblLayout w:type="fixed"/>
        <w:tblCellMar>
          <w:top w:w="28" w:type="dxa"/>
          <w:left w:w="28" w:type="dxa"/>
          <w:bottom w:w="28" w:type="dxa"/>
          <w:right w:w="28" w:type="dxa"/>
        </w:tblCellMar>
      </w:tblPr>
      <w:tblGrid>
        <w:gridCol w:w="871"/>
        <w:gridCol w:w="346"/>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346"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2107"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2107"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410"/>
        <w:gridCol w:w="1079"/>
        <w:gridCol w:w="1191"/>
        <w:gridCol w:w="1884"/>
        <w:gridCol w:w="2468"/>
        <w:gridCol w:w="809"/>
        <w:gridCol w:w="1063"/>
        <w:gridCol w:w="1301"/>
      </w:tblGrid>
      <w:tr>
        <w:trPr/>
        <w:tc>
          <w:tcPr>
            <w:tcW w:w="410" w:type="dxa"/>
            <w:tcBorders/>
            <w:shd w:fill="9ADAF6" w:val="clear"/>
            <w:vAlign w:val="center"/>
          </w:tcPr>
          <w:p>
            <w:pPr>
              <w:pStyle w:val="TableHeading"/>
              <w:bidi w:val="0"/>
              <w:spacing w:before="0" w:after="283"/>
              <w:rPr>
                <w:sz w:val="4"/>
                <w:szCs w:val="4"/>
              </w:rPr>
            </w:pPr>
            <w:r>
              <w:rPr>
                <w:sz w:val="4"/>
                <w:szCs w:val="4"/>
              </w:rPr>
            </w:r>
          </w:p>
        </w:tc>
        <w:tc>
          <w:tcPr>
            <w:tcW w:w="1079"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91"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88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468"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09"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6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01"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410" w:type="dxa"/>
            <w:tcBorders/>
            <w:shd w:fill="E7E7E2" w:val="clear"/>
            <w:vAlign w:val="center"/>
          </w:tcPr>
          <w:p>
            <w:pPr>
              <w:pStyle w:val="TableContents"/>
              <w:bidi w:val="0"/>
              <w:spacing w:before="0" w:after="283"/>
              <w:jc w:val="center"/>
              <w:rPr/>
            </w:pPr>
            <w:r>
              <w:rPr/>
              <w:t xml:space="preserve">N/A </w:t>
            </w:r>
          </w:p>
        </w:tc>
        <w:tc>
          <w:tcPr>
            <w:tcW w:w="1079" w:type="dxa"/>
            <w:tcBorders/>
            <w:shd w:fill="E7E7E2" w:val="clear"/>
            <w:vAlign w:val="center"/>
          </w:tcPr>
          <w:p>
            <w:pPr>
              <w:pStyle w:val="TableContents"/>
              <w:bidi w:val="0"/>
              <w:spacing w:before="0" w:after="283"/>
              <w:jc w:val="left"/>
              <w:rPr/>
            </w:pPr>
            <w:r>
              <w:rPr/>
              <w:t xml:space="preserve">N/A </w:t>
            </w:r>
          </w:p>
        </w:tc>
        <w:tc>
          <w:tcPr>
            <w:tcW w:w="1191" w:type="dxa"/>
            <w:tcBorders/>
            <w:shd w:fill="E7E7E2" w:val="clear"/>
            <w:vAlign w:val="center"/>
          </w:tcPr>
          <w:p>
            <w:pPr>
              <w:pStyle w:val="TableContents"/>
              <w:bidi w:val="0"/>
              <w:spacing w:before="0" w:after="283"/>
              <w:jc w:val="left"/>
              <w:rPr/>
            </w:pPr>
            <w:r>
              <w:rPr/>
              <w:t xml:space="preserve">N/A </w:t>
            </w:r>
          </w:p>
        </w:tc>
        <w:tc>
          <w:tcPr>
            <w:tcW w:w="1884" w:type="dxa"/>
            <w:tcBorders/>
            <w:shd w:fill="E7E7E2" w:val="clear"/>
            <w:vAlign w:val="center"/>
          </w:tcPr>
          <w:p>
            <w:pPr>
              <w:pStyle w:val="TableContents"/>
              <w:bidi w:val="0"/>
              <w:spacing w:before="0" w:after="283"/>
              <w:jc w:val="right"/>
              <w:rPr/>
            </w:pPr>
            <w:r>
              <w:rPr/>
              <w:t xml:space="preserve">N/A </w:t>
            </w:r>
          </w:p>
        </w:tc>
        <w:tc>
          <w:tcPr>
            <w:tcW w:w="2468" w:type="dxa"/>
            <w:tcBorders/>
            <w:shd w:fill="E7E7E2" w:val="clear"/>
            <w:vAlign w:val="center"/>
          </w:tcPr>
          <w:p>
            <w:pPr>
              <w:pStyle w:val="TableContents"/>
              <w:bidi w:val="0"/>
              <w:spacing w:before="0" w:after="283"/>
              <w:jc w:val="right"/>
              <w:rPr/>
            </w:pPr>
            <w:r>
              <w:rPr/>
              <w:t xml:space="preserve">N/A </w:t>
            </w:r>
          </w:p>
        </w:tc>
        <w:tc>
          <w:tcPr>
            <w:tcW w:w="809" w:type="dxa"/>
            <w:tcBorders/>
            <w:shd w:fill="E7E7E2" w:val="clear"/>
            <w:vAlign w:val="center"/>
          </w:tcPr>
          <w:p>
            <w:pPr>
              <w:pStyle w:val="TableContents"/>
              <w:bidi w:val="0"/>
              <w:spacing w:before="0" w:after="283"/>
              <w:jc w:val="center"/>
              <w:rPr/>
            </w:pPr>
            <w:r>
              <w:rPr/>
              <w:t xml:space="preserve">N/A </w:t>
            </w:r>
          </w:p>
        </w:tc>
        <w:tc>
          <w:tcPr>
            <w:tcW w:w="1063" w:type="dxa"/>
            <w:tcBorders/>
            <w:shd w:fill="E7E7E2" w:val="clear"/>
            <w:vAlign w:val="center"/>
          </w:tcPr>
          <w:p>
            <w:pPr>
              <w:pStyle w:val="TableContents"/>
              <w:bidi w:val="0"/>
              <w:spacing w:before="0" w:after="283"/>
              <w:jc w:val="center"/>
              <w:rPr/>
            </w:pPr>
            <w:r>
              <w:rPr/>
              <w:t xml:space="preserve">N/A </w:t>
            </w:r>
          </w:p>
        </w:tc>
        <w:tc>
          <w:tcPr>
            <w:tcW w:w="1301" w:type="dxa"/>
            <w:tcBorders/>
            <w:shd w:fill="E7E7E2" w:val="clear"/>
            <w:vAlign w:val="center"/>
          </w:tcPr>
          <w:p>
            <w:pPr>
              <w:pStyle w:val="TableContents"/>
              <w:bidi w:val="0"/>
              <w:spacing w:before="0" w:after="283"/>
              <w:jc w:val="center"/>
              <w:rPr/>
            </w:pPr>
            <w:r>
              <w:rPr/>
              <w:t xml:space="preserve">N/A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289340/000149315226009881/form10-k.htm" TargetMode="External"/><Relationship Id="rId4" Type="http://schemas.openxmlformats.org/officeDocument/2006/relationships/hyperlink" Target="https://www.sec.gov/Archives/edgar/data/1289340/000149315225010352/ex4-2.htm" TargetMode="External"/><Relationship Id="rId5" Type="http://schemas.openxmlformats.org/officeDocument/2006/relationships/image" Target="media/image2.jpeg"/><Relationship Id="rId6" Type="http://schemas.openxmlformats.org/officeDocument/2006/relationships/hyperlink" Target="https://www.sec.gov/Archives/edgar/data/1289340/000149315226009881/form10-k.htm" TargetMode="External"/><Relationship Id="rId7" Type="http://schemas.openxmlformats.org/officeDocument/2006/relationships/hyperlink" Target="https://www.sec.gov/Archives/edgar/data/1289340/000149315225010352/ex4-2.htm" TargetMode="External"/><Relationship Id="rId8" Type="http://schemas.openxmlformats.org/officeDocument/2006/relationships/image" Target="media/image2.jpeg"/><Relationship Id="rId9" Type="http://schemas.openxmlformats.org/officeDocument/2006/relationships/hyperlink" Target="https://www.sec.gov/Archives/edgar/data/1289340/000164117225026031/ex1-1.htm" TargetMode="External"/><Relationship Id="rId10" Type="http://schemas.openxmlformats.org/officeDocument/2006/relationships/hyperlink" Target="https://www.sec.gov/Archives/edgar/data/1289340/000119312504194896/dex31.htm" TargetMode="External"/><Relationship Id="rId11" Type="http://schemas.openxmlformats.org/officeDocument/2006/relationships/hyperlink" Target="https://www.sec.gov/Archives/edgar/data/1289340/000118143112040271/rrd350779_38055.htm" TargetMode="External"/><Relationship Id="rId12" Type="http://schemas.openxmlformats.org/officeDocument/2006/relationships/hyperlink" Target="https://www.sec.gov/Archives/edgar/data/1289340/000119312516725933/d315048dex31.htm" TargetMode="External"/><Relationship Id="rId13" Type="http://schemas.openxmlformats.org/officeDocument/2006/relationships/hyperlink" Target="https://www.sec.gov/Archives/edgar/data/1289340/000119312504194896/dex32.htm" TargetMode="External"/><Relationship Id="rId14" Type="http://schemas.openxmlformats.org/officeDocument/2006/relationships/hyperlink" Target="https://www.sec.gov/Archives/edgar/data/1289340/000095013704005849/c84511a6exv4w1.txt" TargetMode="External"/><Relationship Id="rId15" Type="http://schemas.openxmlformats.org/officeDocument/2006/relationships/hyperlink" Target="https://www.sec.gov/Archives/edgar/data/1289340/000119312513457167/d636339dex42.htm" TargetMode="External"/><Relationship Id="rId16" Type="http://schemas.openxmlformats.org/officeDocument/2006/relationships/image" Target="media/image3.jpeg"/><Relationship Id="rId17" Type="http://schemas.openxmlformats.org/officeDocument/2006/relationships/image" Target="media/image4.jpeg"/><Relationship Id="rId18" Type="http://schemas.openxmlformats.org/officeDocument/2006/relationships/image" Target="media/image4.jpeg"/><Relationship Id="rId19" Type="http://schemas.openxmlformats.org/officeDocument/2006/relationships/image" Target="media/image4.jpeg"/><Relationship Id="rId20" Type="http://schemas.openxmlformats.org/officeDocument/2006/relationships/image" Target="media/image4.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33875</Words>
  <Characters>180287</Characters>
  <CharactersWithSpaces>214467</CharactersWithSpaces>
  <Paragraphs>2559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