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caps w:val="false"/>
          <w:smallCaps w:val="false"/>
        </w:rPr>
      </w:pPr>
      <w:bookmarkStart w:id="0" w:name="forms-3.htm"/>
      <w:bookmarkStart w:id="1" w:name="ksforms3"/>
      <w:bookmarkEnd w:id="0"/>
      <w:bookmarkEnd w:id="1"/>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filed with the Securities and Exchange Commission on July 15, 2026.</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No. 333-___</w:t>
      </w:r>
    </w:p>
    <w:p>
      <w:pPr>
        <w:pStyle w:val="TextBody"/>
        <w:bidi w:val="0"/>
        <w:spacing w:before="0" w:after="0"/>
        <w:jc w:val="center"/>
        <w:rPr>
          <w:caps w:val="false"/>
          <w:smallCaps w:val="false"/>
        </w:rPr>
      </w:pPr>
      <w:r>
        <w:rPr>
          <w:caps w:val="false"/>
          <w:smallCaps w:val="false"/>
        </w:rPr>
        <w:t> </w:t>
      </w:r>
    </w:p>
    <w:p>
      <w:pPr>
        <w:pStyle w:val="TextBody"/>
        <w:bidi w:val="0"/>
        <w:ind w:left="0" w:right="0" w:hanging="0"/>
        <w:jc w:val="left"/>
        <w:rPr>
          <w:bdr w:val="single" w:sz="32" w:space="1" w:color="000000"/>
        </w:rPr>
      </w:pPr>
      <w:r>
        <w:rPr>
          <w:bdr w:val="single" w:sz="3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S-3</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STATEMENT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SECURITIES ACT OF 1933</w:t>
      </w:r>
    </w:p>
    <w:p>
      <w:pPr>
        <w:pStyle w:val="TextBody"/>
        <w:bidi w:val="0"/>
        <w:spacing w:before="0" w:after="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STEREOTAXIS, INC.</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Exact name of registrant as specified in its charter</w:t>
      </w:r>
      <w:r>
        <w:rPr>
          <w:rFonts w:ascii="Times New Roman;Times;Serif" w:hAnsi="Times New Roman;Times;Serif"/>
          <w:b w:val="false"/>
          <w:i w:val="false"/>
          <w:caps w:val="false"/>
          <w:smallCaps w:val="false"/>
          <w:sz w:val="20"/>
        </w:rPr>
        <w:t>)</w:t>
      </w:r>
    </w:p>
    <w:p>
      <w:pPr>
        <w:pStyle w:val="TextBody"/>
        <w:bidi w:val="0"/>
        <w:spacing w:before="0" w:after="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tbl>
      <w:tblPr>
        <w:tblW w:w="6655" w:type="dxa"/>
        <w:jc w:val="left"/>
        <w:tblInd w:w="0" w:type="dxa"/>
        <w:tblLayout w:type="fixed"/>
        <w:tblCellMar>
          <w:top w:w="0" w:type="dxa"/>
          <w:left w:w="0" w:type="dxa"/>
          <w:bottom w:w="0" w:type="dxa"/>
          <w:right w:w="0" w:type="dxa"/>
        </w:tblCellMar>
      </w:tblPr>
      <w:tblGrid>
        <w:gridCol w:w="5030"/>
        <w:gridCol w:w="60"/>
        <w:gridCol w:w="1565"/>
      </w:tblGrid>
      <w:tr>
        <w:trPr/>
        <w:tc>
          <w:tcPr>
            <w:tcW w:w="503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Delaware</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56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94-3120386</w:t>
            </w:r>
          </w:p>
        </w:tc>
      </w:tr>
      <w:tr>
        <w:trPr/>
        <w:tc>
          <w:tcPr>
            <w:tcW w:w="5030" w:type="dxa"/>
            <w:tcBorders/>
            <w:vAlign w:val="center"/>
          </w:tcPr>
          <w:p>
            <w:pPr>
              <w:pStyle w:val="TableContents"/>
              <w:bidi w:val="0"/>
              <w:spacing w:before="0" w:after="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(State or other jurisdiction of incorporation or organization)</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565" w:type="dxa"/>
            <w:tcBorders/>
            <w:vAlign w:val="center"/>
          </w:tcPr>
          <w:p>
            <w:pPr>
              <w:pStyle w:val="TableContents"/>
              <w:bidi w:val="0"/>
              <w:spacing w:before="0" w:after="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(I.R.S. Employer</w:t>
            </w:r>
          </w:p>
          <w:p>
            <w:pPr>
              <w:pStyle w:val="TableContents"/>
              <w:bidi w:val="0"/>
              <w:spacing w:before="0" w:after="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Identification No.)</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710 North Tucker Boulevard, Suite 110</w:t>
        <w:br/>
        <w:t>St. Louis, Missouri 63101</w:t>
        <w:br/>
        <w:t>(314) 678-6100</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(Address, including zip code, and telephone number, including area code, of registrant’s principal executive offices)</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366"/>
        <w:gridCol w:w="60"/>
        <w:gridCol w:w="2779"/>
      </w:tblGrid>
      <w:tr>
        <w:trPr/>
        <w:tc>
          <w:tcPr>
            <w:tcW w:w="7366"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shd w:fill="FFFFFF" w:val="clear"/>
              </w:rPr>
            </w:pPr>
            <w:r>
              <w:rPr>
                <w:rFonts w:ascii="Times New Roman;Times;Serif" w:hAnsi="Times New Roman;Times;Serif"/>
                <w:b/>
                <w:i w:val="false"/>
                <w:caps w:val="false"/>
                <w:smallCaps w:val="false"/>
                <w:sz w:val="20"/>
                <w:shd w:fill="FFFFFF" w:val="clear"/>
              </w:rPr>
              <w:t>David Fischel</w:t>
            </w:r>
          </w:p>
          <w:p>
            <w:pPr>
              <w:pStyle w:val="TableContents"/>
              <w:bidi w:val="0"/>
              <w:spacing w:before="0" w:after="0"/>
              <w:ind w:left="0" w:right="0" w:hanging="0"/>
              <w:jc w:val="center"/>
              <w:rPr>
                <w:rFonts w:ascii="Times New Roman;Times;Serif" w:hAnsi="Times New Roman;Times;Serif"/>
                <w:b/>
                <w:i w:val="false"/>
                <w:caps w:val="false"/>
                <w:smallCaps w:val="false"/>
                <w:sz w:val="20"/>
                <w:shd w:fill="FFFFFF" w:val="clear"/>
              </w:rPr>
            </w:pPr>
            <w:r>
              <w:rPr>
                <w:rFonts w:ascii="Times New Roman;Times;Serif" w:hAnsi="Times New Roman;Times;Serif"/>
                <w:b/>
                <w:i w:val="false"/>
                <w:caps w:val="false"/>
                <w:smallCaps w:val="false"/>
                <w:sz w:val="20"/>
                <w:shd w:fill="FFFFFF" w:val="clear"/>
              </w:rPr>
              <w:t>Chief Executive Officer</w:t>
            </w:r>
          </w:p>
          <w:p>
            <w:pPr>
              <w:pStyle w:val="TableContents"/>
              <w:bidi w:val="0"/>
              <w:spacing w:before="0" w:after="0"/>
              <w:ind w:left="0" w:right="0" w:hanging="0"/>
              <w:jc w:val="center"/>
              <w:rPr>
                <w:rFonts w:ascii="Times New Roman;Times;Serif" w:hAnsi="Times New Roman;Times;Serif"/>
                <w:b/>
                <w:i w:val="false"/>
                <w:caps w:val="false"/>
                <w:smallCaps w:val="false"/>
                <w:sz w:val="20"/>
                <w:shd w:fill="FFFFFF" w:val="clear"/>
              </w:rPr>
            </w:pPr>
            <w:r>
              <w:rPr>
                <w:rFonts w:ascii="Times New Roman;Times;Serif" w:hAnsi="Times New Roman;Times;Serif"/>
                <w:b/>
                <w:i w:val="false"/>
                <w:caps w:val="false"/>
                <w:smallCaps w:val="false"/>
                <w:sz w:val="20"/>
                <w:shd w:fill="FFFFFF" w:val="clear"/>
              </w:rPr>
              <w:t>Stereotaxis, Inc.</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710 North Tucker Boulevard, Suite 110</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 Louis, Missouri 63101</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(314) 678-6100</w:t>
            </w:r>
          </w:p>
          <w:p>
            <w:pPr>
              <w:pStyle w:val="TableContents"/>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(Name, address, including zip code, and telephone number, including area code, of agent for service)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779" w:type="dxa"/>
            <w:tcBorders/>
            <w:vAlign w:val="center"/>
          </w:tcPr>
          <w:p>
            <w:pPr>
              <w:pStyle w:val="TableContents"/>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Copies of all correspondence to:</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Robert J. Endicott, Esq.</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Bryan Cave Leighton Paisner LLP</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One Metropolitan Square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211 North Broadway, Suite 3600</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 Louis, Missouri 63102-2750</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(314) 259-2000</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Approximate date of commencement of proposed sale to public:</w:t>
      </w:r>
      <w:r>
        <w:rPr>
          <w:rFonts w:ascii="Times New Roman;Times;Serif" w:hAnsi="Times New Roman;Times;Serif"/>
          <w:b w:val="false"/>
          <w:i w:val="false"/>
          <w:caps w:val="false"/>
          <w:smallCaps w:val="false"/>
          <w:sz w:val="20"/>
        </w:rPr>
        <w:t xml:space="preserve"> From time to time after this registration statement becomes effective.</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only securities being registered on this Form are being offered pursuant to dividend or interest reinvestment plans, please check the following box: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of the securities being registered on this form are to be offered on a delayed or continuous basis pursuant to Rule 415 under the Securities Act of 1933, check the following box.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a post-effective amendment filed pursuant to Rule 462(c) under the Securities Act, check the following box and list the Securities Act registration statement number of the earlier effective registration statement for the same offering.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a registration statement pursuant to General Instruction I.D. or a post-effective amendment thereto that shall become effective upon filing with the Commission pursuant to Rule 462(e) under the Securities Act, check the following box.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a post-effective amendment to a registration statement filed pursuant to General Instruction I.D. filed to register additional securities or additional classes of securities pursuant to Rule 413(b) under the Securities Act, check the following box.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firstLine="360"/>
        <w:jc w:val="both"/>
        <w:rPr>
          <w:caps w:val="false"/>
          <w:smallCaps w:val="false"/>
        </w:rPr>
      </w:pPr>
      <w:r>
        <w:rPr>
          <w:caps w:val="false"/>
          <w:smallCaps w:val="false"/>
        </w:rPr>
        <w:t> </w:t>
      </w:r>
    </w:p>
    <w:tbl>
      <w:tblPr>
        <w:tblW w:w="8045" w:type="dxa"/>
        <w:jc w:val="left"/>
        <w:tblInd w:w="0" w:type="dxa"/>
        <w:tblLayout w:type="fixed"/>
        <w:tblCellMar>
          <w:top w:w="0" w:type="dxa"/>
          <w:left w:w="0" w:type="dxa"/>
          <w:bottom w:w="0" w:type="dxa"/>
          <w:right w:w="0" w:type="dxa"/>
        </w:tblCellMar>
      </w:tblPr>
      <w:tblGrid>
        <w:gridCol w:w="2060"/>
        <w:gridCol w:w="1580"/>
        <w:gridCol w:w="1940"/>
        <w:gridCol w:w="2465"/>
      </w:tblGrid>
      <w:tr>
        <w:trPr/>
        <w:tc>
          <w:tcPr>
            <w:tcW w:w="20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Large accelerated filer ☐</w:t>
            </w:r>
          </w:p>
        </w:tc>
        <w:tc>
          <w:tcPr>
            <w:tcW w:w="15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Accelerated filer ☐</w:t>
            </w:r>
          </w:p>
        </w:tc>
        <w:tc>
          <w:tcPr>
            <w:tcW w:w="19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Non-accelerated filer ☒</w:t>
            </w:r>
          </w:p>
        </w:tc>
        <w:tc>
          <w:tcPr>
            <w:tcW w:w="24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Smaller reporting company ☒</w:t>
            </w:r>
          </w:p>
        </w:tc>
      </w:tr>
      <w:tr>
        <w:trPr/>
        <w:tc>
          <w:tcPr>
            <w:tcW w:w="2060" w:type="dxa"/>
            <w:tcBorders/>
            <w:vAlign w:val="center"/>
          </w:tcPr>
          <w:p>
            <w:pPr>
              <w:pStyle w:val="TableContents"/>
              <w:bidi w:val="0"/>
              <w:spacing w:before="0" w:after="283"/>
              <w:jc w:val="left"/>
              <w:rPr>
                <w:caps w:val="false"/>
                <w:smallCaps w:val="false"/>
              </w:rPr>
            </w:pPr>
            <w:r>
              <w:rPr>
                <w:caps w:val="false"/>
                <w:smallCaps w:val="false"/>
              </w:rPr>
              <w:t> </w:t>
            </w:r>
          </w:p>
        </w:tc>
        <w:tc>
          <w:tcPr>
            <w:tcW w:w="1580" w:type="dxa"/>
            <w:tcBorders/>
            <w:vAlign w:val="center"/>
          </w:tcPr>
          <w:p>
            <w:pPr>
              <w:pStyle w:val="TableContents"/>
              <w:bidi w:val="0"/>
              <w:spacing w:before="0" w:after="283"/>
              <w:jc w:val="left"/>
              <w:rPr>
                <w:caps w:val="false"/>
                <w:smallCaps w:val="false"/>
              </w:rPr>
            </w:pPr>
            <w:r>
              <w:rPr>
                <w:caps w:val="false"/>
                <w:smallCaps w:val="false"/>
              </w:rPr>
              <w:t> </w:t>
            </w:r>
          </w:p>
        </w:tc>
        <w:tc>
          <w:tcPr>
            <w:tcW w:w="1940" w:type="dxa"/>
            <w:tcBorders/>
            <w:vAlign w:val="center"/>
          </w:tcPr>
          <w:p>
            <w:pPr>
              <w:pStyle w:val="TableContents"/>
              <w:bidi w:val="0"/>
              <w:spacing w:before="0" w:after="283"/>
              <w:jc w:val="left"/>
              <w:rPr>
                <w:caps w:val="false"/>
                <w:smallCaps w:val="false"/>
              </w:rPr>
            </w:pPr>
            <w:r>
              <w:rPr>
                <w:caps w:val="false"/>
                <w:smallCaps w:val="false"/>
              </w:rPr>
              <w:t> </w:t>
            </w:r>
          </w:p>
        </w:tc>
        <w:tc>
          <w:tcPr>
            <w:tcW w:w="24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7(a)(2)(B) of the Securities Act. ☐</w:t>
      </w:r>
    </w:p>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SEC, acting pursuant to said Section 8(a), may determine.</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FF0000"/>
          <w:sz w:val="20"/>
        </w:rPr>
      </w:pPr>
      <w:r>
        <w:rPr>
          <w:rFonts w:ascii="Times New Roman;Times;Serif" w:hAnsi="Times New Roman;Times;Serif"/>
          <w:b w:val="false"/>
          <w:i w:val="false"/>
          <w:caps w:val="false"/>
          <w:smallCaps w:val="false"/>
          <w:color w:val="FF0000"/>
          <w:sz w:val="20"/>
        </w:rPr>
        <w:t>THE INFORMATION IN THIS PROSPECTUS IS NOT COMPLETE AND MAY BE CHANGED. THE SECURITIES MAY NOT BE SOLD UNTIL THE REGISTRATION STATEMENT FILED WITH THE SECURITIES AND EXCHANGE COMMISSION IS EFFECTIVE. THIS PROSPECTUS IS NOT AN OFFER TO SELL THESE SECURITIES AND IT IS NOT SOLICITING AN OFFER TO BUY THESE SECURITIES IN ANY STATE WHERE THE OFFER OR SALE IS NOT PERMITTED.</w:t>
      </w:r>
    </w:p>
    <w:p>
      <w:pPr>
        <w:pStyle w:val="TextBody"/>
        <w:bidi w:val="0"/>
        <w:spacing w:before="0" w:after="0"/>
        <w:ind w:left="0" w:right="0" w:hanging="0"/>
        <w:jc w:val="center"/>
        <w:rPr>
          <w:caps w:val="false"/>
          <w:smallCaps w:val="false"/>
          <w:color w:val="FF0000"/>
        </w:rPr>
      </w:pPr>
      <w:r>
        <w:rPr>
          <w:caps w:val="false"/>
          <w:smallCaps w:val="false"/>
          <w:color w:val="FF0000"/>
        </w:rPr>
        <w:t> </w:t>
      </w:r>
    </w:p>
    <w:p>
      <w:pPr>
        <w:pStyle w:val="TextBody"/>
        <w:bidi w:val="0"/>
        <w:spacing w:before="0" w:after="0"/>
        <w:ind w:left="0" w:right="0" w:hanging="0"/>
        <w:jc w:val="center"/>
        <w:rPr>
          <w:rFonts w:ascii="Times New Roman;Times;Serif" w:hAnsi="Times New Roman;Times;Serif"/>
          <w:b/>
          <w:i w:val="false"/>
          <w:caps w:val="false"/>
          <w:smallCaps w:val="false"/>
          <w:color w:val="FF0000"/>
          <w:sz w:val="20"/>
        </w:rPr>
      </w:pPr>
      <w:r>
        <w:rPr>
          <w:rFonts w:ascii="Times New Roman;Times;Serif" w:hAnsi="Times New Roman;Times;Serif"/>
          <w:b/>
          <w:i w:val="false"/>
          <w:caps w:val="false"/>
          <w:smallCaps w:val="false"/>
          <w:color w:val="FF0000"/>
          <w:sz w:val="20"/>
        </w:rPr>
        <w:t>Subject to Completion, dated July 15,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1314450" cy="7048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314450" cy="704850"/>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Common Stock, $0.001 par value</w:t>
        <w:br/>
        <w:t>19,449,603 Shares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relates to the resale, from time to time, of up to 19,449,603 shares (the “Shares”) of our common stock which are held by, or that may be issued to, the Selling Stockholders (as defined below) named herein, including shares of our common stock issuable upon exercise of pre-funded warrants (the “Purchaser Warrants”) issued to certain of the Selling Stockholders in lieu of shares of our common stock.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Selling Stockholders acquired or will acquire the Shares or Purchaser Warrants in connection with our acquisition (the “Acquisition”) of Robocath, a French </w:t>
      </w:r>
      <w:r>
        <w:rPr>
          <w:rFonts w:ascii="Times New Roman;Times;Serif" w:hAnsi="Times New Roman;Times;Serif"/>
          <w:b w:val="false"/>
          <w:i/>
          <w:caps w:val="false"/>
          <w:smallCaps w:val="false"/>
          <w:sz w:val="20"/>
        </w:rPr>
        <w:t>société par actions simplifiée</w:t>
      </w:r>
      <w:r>
        <w:rPr>
          <w:rFonts w:ascii="Times New Roman;Times;Serif" w:hAnsi="Times New Roman;Times;Serif"/>
          <w:b w:val="false"/>
          <w:i w:val="false"/>
          <w:caps w:val="false"/>
          <w:smallCaps w:val="false"/>
          <w:sz w:val="20"/>
        </w:rPr>
        <w:t xml:space="preserve"> (“Robocath”). Pursuant to the Share Sale Agreement, dated as of April 14, 2026, by and among Stereotaxis, the securityholders of Robocath party thereto (the “Securityholders”) and an individual serving as manager (the “Share Sale Agreement”), we acquired shares and other securities collectively representing 100% of the share capital and voting power of Robocath (on a fully-diluted basis) from the Securityholders. We are not selling any shares of our common stock under this prospectus and will not receive any of the proceeds from any sale of such Shares by or on behalf of any Selling Stockholders.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Shares being registered hereunder are comprised of (i) 6,269,628 shares of our common stock (including shares of common stock issuable upon exercise of Purchaser Warrants issued in lieu of Closing Shares and 225,000 shares of common stock issued to Robocath’s financial advisor as partial payment of a success fee for acquisition advisory services rendered to Robocath and its securityholders in connection with the Acquisition) (the “Closing Shares”) issued to the Securityholders and the financial advisor named in the table appearing under the heading “Selling Stockholders” in this prospectus (each, a “Selling Stockholder” and collectively, the “Selling Stockholders”) on July 7, 2026 pursuant to the Share Sale Agreement and (ii) up to </w:t>
      </w:r>
      <w:r>
        <w:rPr>
          <w:rFonts w:ascii="Times New Roman;Times;Serif" w:hAnsi="Times New Roman;Times;Serif"/>
          <w:b w:val="false"/>
          <w:i w:val="false"/>
          <w:caps w:val="false"/>
          <w:smallCaps w:val="false"/>
          <w:sz w:val="20"/>
          <w:shd w:fill="FFFFFF" w:val="clear"/>
        </w:rPr>
        <w:t xml:space="preserve">13,179,975 additional shares of our common stock </w:t>
      </w:r>
      <w:r>
        <w:rPr>
          <w:rFonts w:ascii="Times New Roman;Times;Serif" w:hAnsi="Times New Roman;Times;Serif"/>
          <w:b w:val="false"/>
          <w:i w:val="false"/>
          <w:caps w:val="false"/>
          <w:smallCaps w:val="false"/>
          <w:sz w:val="20"/>
        </w:rPr>
        <w:t xml:space="preserve">(including shares of common stock issuable upon exercise of Purchaser Warrants issued to one of the Selling Stockholders named herein in lieu of Earnout Shares) </w:t>
      </w:r>
      <w:r>
        <w:rPr>
          <w:rFonts w:ascii="Times New Roman;Times;Serif" w:hAnsi="Times New Roman;Times;Serif"/>
          <w:b w:val="false"/>
          <w:i w:val="false"/>
          <w:caps w:val="false"/>
          <w:smallCaps w:val="false"/>
          <w:sz w:val="20"/>
          <w:shd w:fill="FFFFFF" w:val="clear"/>
        </w:rPr>
        <w:t>(the “</w:t>
      </w:r>
      <w:r>
        <w:rPr>
          <w:rFonts w:ascii="Times New Roman;Times;Serif" w:hAnsi="Times New Roman;Times;Serif"/>
          <w:b w:val="false"/>
          <w:i w:val="false"/>
          <w:caps w:val="false"/>
          <w:smallCaps w:val="false"/>
          <w:sz w:val="20"/>
        </w:rPr>
        <w:t xml:space="preserve">Earnout Shares”) that we may issue pursuant to the Share Sale Agreement following achievement of certain regulatory and commercial milestones specified therein. The earnout consideration payable upon achievement of such milestones may be satisfied, at our election, in cash, by issuing Earnout Shares (or Purchaser Warrants in lieu thereof), or in a combination of cash and Earnout Shares (or Purchaser Warrants), subject to a cap of 19.9% of the total number of shares of the Company’s common stock issued and outstanding immediately prior to the closing (the “NYSE American Share Cap”). The Earnout Shares have not been earned and are not currently outstanding. The actual number of Earnout Shares issued to the Selling Stockholders could be materially less than </w:t>
      </w:r>
      <w:r>
        <w:rPr>
          <w:rFonts w:ascii="Times New Roman;Times;Serif" w:hAnsi="Times New Roman;Times;Serif"/>
          <w:b w:val="false"/>
          <w:i w:val="false"/>
          <w:caps w:val="false"/>
          <w:smallCaps w:val="false"/>
          <w:sz w:val="20"/>
          <w:shd w:fill="FFFFFF" w:val="clear"/>
        </w:rPr>
        <w:t xml:space="preserve">13,179,975 </w:t>
      </w:r>
      <w:r>
        <w:rPr>
          <w:rFonts w:ascii="Times New Roman;Times;Serif" w:hAnsi="Times New Roman;Times;Serif"/>
          <w:b w:val="false"/>
          <w:i w:val="false"/>
          <w:caps w:val="false"/>
          <w:smallCaps w:val="false"/>
          <w:sz w:val="20"/>
        </w:rPr>
        <w:t>shares of common stock depending on whether and to what extent the regulatory and commercial milestones are met, whether we elect to pay all or a portion of such consideration in cash or Earnout Shares (or Purchaser Warrants), as well as the actual average closing price of our common stock calculated pursuant to a formula near the time such milestones are achieved.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Stockholders, or their respective permitted pledgees, transferees, donees or other successors-in-interest, may sell the Shares of our common stock described in this prospectus in a number of different ways and at varying prices. We provide more information about how the Selling Stockholders may resell their respective shares of our common stock in the section titled “</w:t>
      </w:r>
      <w:r>
        <w:rPr>
          <w:rFonts w:ascii="Times New Roman;Times;Serif" w:hAnsi="Times New Roman;Times;Serif"/>
          <w:b w:val="false"/>
          <w:i/>
          <w:caps w:val="false"/>
          <w:smallCaps w:val="false"/>
          <w:sz w:val="20"/>
        </w:rPr>
        <w:t>Plan of Distribution</w:t>
      </w:r>
      <w:r>
        <w:rPr>
          <w:rFonts w:ascii="Times New Roman;Times;Serif" w:hAnsi="Times New Roman;Times;Serif"/>
          <w:b w:val="false"/>
          <w:i w:val="false"/>
          <w:caps w:val="false"/>
          <w:smallCaps w:val="false"/>
          <w:sz w:val="20"/>
        </w:rPr>
        <w:t>” beginning on page 14. We will pay the expenses incurred in registering the shares, including legal and accounting fees. We will not be paying any underwriting discounts or commissions in this offering.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is traded on the NYSE American under the symbol “STXS.” On July 14, 2026, the last reported sale price for our common stock on the NYSE American was $1.60 per share.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Investing in our securities involves a high degree of risk. Before buying any securities, you should read the discussion of material risks of investing in our common stock under the heading “Risk Factors” beginning on page 4 of this prospectus.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Neither the Securities and Exchange Commission nor any state securities commission has approved or disapproved of these securities or passed upon the adequacy or accuracy of this prospectus. Any representation to the contrary is a criminal offense.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date of this prospectus is          , 2026.</w:t>
      </w:r>
    </w:p>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tbl>
      <w:tblPr>
        <w:tblW w:w="5950" w:type="dxa"/>
        <w:jc w:val="left"/>
        <w:tblInd w:w="0" w:type="dxa"/>
        <w:tblLayout w:type="fixed"/>
        <w:tblCellMar>
          <w:top w:w="0" w:type="dxa"/>
          <w:left w:w="0" w:type="dxa"/>
          <w:bottom w:w="0" w:type="dxa"/>
          <w:right w:w="0" w:type="dxa"/>
        </w:tblCellMar>
      </w:tblPr>
      <w:tblGrid>
        <w:gridCol w:w="5495"/>
        <w:gridCol w:w="455"/>
      </w:tblGrid>
      <w:tr>
        <w:trPr/>
        <w:tc>
          <w:tcPr>
            <w:tcW w:w="54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Page</w:t>
            </w:r>
          </w:p>
        </w:tc>
      </w:tr>
      <w:tr>
        <w:trPr/>
        <w:tc>
          <w:tcPr>
            <w:tcW w:w="5495" w:type="dxa"/>
            <w:tcBorders/>
            <w:shd w:fill="CCEEFF" w:val="clear"/>
            <w:vAlign w:val="center"/>
          </w:tcPr>
          <w:p>
            <w:pPr>
              <w:pStyle w:val="TableContents"/>
              <w:bidi w:val="0"/>
              <w:spacing w:before="0" w:after="283"/>
              <w:jc w:val="left"/>
              <w:rPr/>
            </w:pPr>
            <w:hyperlink w:anchor="Y-001">
              <w:r>
                <w:rPr>
                  <w:rStyle w:val="InternetLink"/>
                  <w:rFonts w:ascii="Times New Roman;Times;Serif" w:hAnsi="Times New Roman;Times;Serif"/>
                  <w:b w:val="false"/>
                  <w:i w:val="false"/>
                  <w:caps w:val="false"/>
                  <w:smallCaps w:val="false"/>
                  <w:sz w:val="20"/>
                </w:rPr>
                <w:t>ABOUT THIS PROSPECTUS</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r>
      <w:tr>
        <w:trPr/>
        <w:tc>
          <w:tcPr>
            <w:tcW w:w="5495" w:type="dxa"/>
            <w:tcBorders/>
            <w:shd w:fill="FFFFFF" w:val="clear"/>
            <w:vAlign w:val="center"/>
          </w:tcPr>
          <w:p>
            <w:pPr>
              <w:pStyle w:val="TableContents"/>
              <w:bidi w:val="0"/>
              <w:spacing w:before="0" w:after="283"/>
              <w:jc w:val="left"/>
              <w:rPr/>
            </w:pPr>
            <w:hyperlink w:anchor="Y-002">
              <w:r>
                <w:rPr>
                  <w:rStyle w:val="InternetLink"/>
                  <w:rFonts w:ascii="Times New Roman;Times;Serif" w:hAnsi="Times New Roman;Times;Serif"/>
                  <w:b w:val="false"/>
                  <w:i w:val="false"/>
                  <w:caps w:val="false"/>
                  <w:smallCaps w:val="false"/>
                  <w:sz w:val="20"/>
                </w:rPr>
                <w:t>PROSPECTUS SUMMARY</w:t>
              </w:r>
            </w:hyperlink>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5495" w:type="dxa"/>
            <w:tcBorders/>
            <w:shd w:fill="CCEEFF" w:val="clear"/>
            <w:vAlign w:val="center"/>
          </w:tcPr>
          <w:p>
            <w:pPr>
              <w:pStyle w:val="TableContents"/>
              <w:bidi w:val="0"/>
              <w:spacing w:before="0" w:after="283"/>
              <w:jc w:val="left"/>
              <w:rPr/>
            </w:pPr>
            <w:hyperlink w:anchor="Y-003">
              <w:r>
                <w:rPr>
                  <w:rStyle w:val="InternetLink"/>
                  <w:rFonts w:ascii="Times New Roman;Times;Serif" w:hAnsi="Times New Roman;Times;Serif"/>
                  <w:b w:val="false"/>
                  <w:i w:val="false"/>
                  <w:caps w:val="false"/>
                  <w:smallCaps w:val="false"/>
                  <w:sz w:val="20"/>
                </w:rPr>
                <w:t>RISK FACTORS</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r>
      <w:tr>
        <w:trPr/>
        <w:tc>
          <w:tcPr>
            <w:tcW w:w="5495" w:type="dxa"/>
            <w:tcBorders/>
            <w:shd w:fill="FFFFFF" w:val="clear"/>
            <w:vAlign w:val="center"/>
          </w:tcPr>
          <w:p>
            <w:pPr>
              <w:pStyle w:val="TableContents"/>
              <w:bidi w:val="0"/>
              <w:spacing w:before="0" w:after="283"/>
              <w:jc w:val="left"/>
              <w:rPr/>
            </w:pPr>
            <w:hyperlink w:anchor="Y-004">
              <w:r>
                <w:rPr>
                  <w:rStyle w:val="InternetLink"/>
                  <w:rFonts w:ascii="Times New Roman;Times;Serif" w:hAnsi="Times New Roman;Times;Serif"/>
                  <w:b w:val="false"/>
                  <w:i w:val="false"/>
                  <w:caps w:val="false"/>
                  <w:smallCaps w:val="false"/>
                  <w:sz w:val="20"/>
                </w:rPr>
                <w:t>FORWARD-LOOKING STATEMENTS</w:t>
              </w:r>
            </w:hyperlink>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r>
      <w:tr>
        <w:trPr/>
        <w:tc>
          <w:tcPr>
            <w:tcW w:w="5495" w:type="dxa"/>
            <w:tcBorders/>
            <w:shd w:fill="CCEEFF" w:val="clear"/>
            <w:vAlign w:val="center"/>
          </w:tcPr>
          <w:p>
            <w:pPr>
              <w:pStyle w:val="TableContents"/>
              <w:bidi w:val="0"/>
              <w:spacing w:before="0" w:after="283"/>
              <w:jc w:val="left"/>
              <w:rPr/>
            </w:pPr>
            <w:hyperlink w:anchor="Y-005">
              <w:r>
                <w:rPr>
                  <w:rStyle w:val="InternetLink"/>
                  <w:rFonts w:ascii="Times New Roman;Times;Serif" w:hAnsi="Times New Roman;Times;Serif"/>
                  <w:b w:val="false"/>
                  <w:i w:val="false"/>
                  <w:caps w:val="false"/>
                  <w:smallCaps w:val="false"/>
                  <w:sz w:val="20"/>
                </w:rPr>
                <w:t>USE OF PROCEEDS</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r>
      <w:tr>
        <w:trPr/>
        <w:tc>
          <w:tcPr>
            <w:tcW w:w="5495" w:type="dxa"/>
            <w:tcBorders/>
            <w:shd w:fill="FFFFFF" w:val="clear"/>
            <w:vAlign w:val="center"/>
          </w:tcPr>
          <w:p>
            <w:pPr>
              <w:pStyle w:val="TableContents"/>
              <w:bidi w:val="0"/>
              <w:spacing w:before="0" w:after="283"/>
              <w:jc w:val="left"/>
              <w:rPr/>
            </w:pPr>
            <w:hyperlink w:anchor="Y-006">
              <w:r>
                <w:rPr>
                  <w:rStyle w:val="InternetLink"/>
                  <w:rFonts w:ascii="Times New Roman;Times;Serif" w:hAnsi="Times New Roman;Times;Serif"/>
                  <w:b w:val="false"/>
                  <w:i w:val="false"/>
                  <w:caps w:val="false"/>
                  <w:smallCaps w:val="false"/>
                  <w:sz w:val="20"/>
                </w:rPr>
                <w:t>SELLING STOCKHOLDERS</w:t>
              </w:r>
            </w:hyperlink>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r>
      <w:tr>
        <w:trPr/>
        <w:tc>
          <w:tcPr>
            <w:tcW w:w="5495" w:type="dxa"/>
            <w:tcBorders/>
            <w:shd w:fill="CCEEFF" w:val="clear"/>
            <w:vAlign w:val="center"/>
          </w:tcPr>
          <w:p>
            <w:pPr>
              <w:pStyle w:val="TableContents"/>
              <w:bidi w:val="0"/>
              <w:spacing w:before="0" w:after="283"/>
              <w:jc w:val="left"/>
              <w:rPr/>
            </w:pPr>
            <w:hyperlink w:anchor="Y-007">
              <w:r>
                <w:rPr>
                  <w:rStyle w:val="InternetLink"/>
                  <w:rFonts w:ascii="Times New Roman;Times;Serif" w:hAnsi="Times New Roman;Times;Serif"/>
                  <w:b w:val="false"/>
                  <w:i w:val="false"/>
                  <w:caps w:val="false"/>
                  <w:smallCaps w:val="false"/>
                  <w:sz w:val="20"/>
                </w:rPr>
                <w:t>PLAN OF DISTRIBUTION</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r>
      <w:tr>
        <w:trPr/>
        <w:tc>
          <w:tcPr>
            <w:tcW w:w="5495" w:type="dxa"/>
            <w:tcBorders/>
            <w:shd w:fill="FFFFFF" w:val="clear"/>
            <w:vAlign w:val="center"/>
          </w:tcPr>
          <w:p>
            <w:pPr>
              <w:pStyle w:val="TableContents"/>
              <w:bidi w:val="0"/>
              <w:spacing w:before="0" w:after="283"/>
              <w:jc w:val="left"/>
              <w:rPr/>
            </w:pPr>
            <w:hyperlink w:anchor="Y-008">
              <w:r>
                <w:rPr>
                  <w:rStyle w:val="InternetLink"/>
                  <w:rFonts w:ascii="Times New Roman;Times;Serif" w:hAnsi="Times New Roman;Times;Serif"/>
                  <w:b w:val="false"/>
                  <w:i w:val="false"/>
                  <w:caps w:val="false"/>
                  <w:smallCaps w:val="false"/>
                  <w:sz w:val="20"/>
                </w:rPr>
                <w:t>DESCRIPTION OF SECURITIES</w:t>
              </w:r>
            </w:hyperlink>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r>
      <w:tr>
        <w:trPr/>
        <w:tc>
          <w:tcPr>
            <w:tcW w:w="5495" w:type="dxa"/>
            <w:tcBorders/>
            <w:shd w:fill="CCEEFF" w:val="clear"/>
            <w:vAlign w:val="center"/>
          </w:tcPr>
          <w:p>
            <w:pPr>
              <w:pStyle w:val="TableContents"/>
              <w:bidi w:val="0"/>
              <w:spacing w:before="0" w:after="283"/>
              <w:jc w:val="left"/>
              <w:rPr/>
            </w:pPr>
            <w:hyperlink w:anchor="Y-009">
              <w:r>
                <w:rPr>
                  <w:rStyle w:val="InternetLink"/>
                  <w:rFonts w:ascii="Times New Roman;Times;Serif" w:hAnsi="Times New Roman;Times;Serif"/>
                  <w:b w:val="false"/>
                  <w:i w:val="false"/>
                  <w:caps w:val="false"/>
                  <w:smallCaps w:val="false"/>
                  <w:sz w:val="20"/>
                </w:rPr>
                <w:t>LEGAL MATTERS</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w:t>
            </w:r>
          </w:p>
        </w:tc>
      </w:tr>
      <w:tr>
        <w:trPr/>
        <w:tc>
          <w:tcPr>
            <w:tcW w:w="5495" w:type="dxa"/>
            <w:tcBorders/>
            <w:shd w:fill="FFFFFF" w:val="clear"/>
            <w:vAlign w:val="center"/>
          </w:tcPr>
          <w:p>
            <w:pPr>
              <w:pStyle w:val="TableContents"/>
              <w:bidi w:val="0"/>
              <w:spacing w:before="0" w:after="283"/>
              <w:jc w:val="left"/>
              <w:rPr/>
            </w:pPr>
            <w:hyperlink w:anchor="Y-010">
              <w:r>
                <w:rPr>
                  <w:rStyle w:val="InternetLink"/>
                  <w:rFonts w:ascii="Times New Roman;Times;Serif" w:hAnsi="Times New Roman;Times;Serif"/>
                  <w:b w:val="false"/>
                  <w:i w:val="false"/>
                  <w:caps w:val="false"/>
                  <w:smallCaps w:val="false"/>
                  <w:sz w:val="20"/>
                </w:rPr>
                <w:t>EXPERTS</w:t>
              </w:r>
            </w:hyperlink>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w:t>
            </w:r>
          </w:p>
        </w:tc>
      </w:tr>
      <w:tr>
        <w:trPr/>
        <w:tc>
          <w:tcPr>
            <w:tcW w:w="5495" w:type="dxa"/>
            <w:tcBorders/>
            <w:shd w:fill="CCEEFF" w:val="clear"/>
            <w:vAlign w:val="center"/>
          </w:tcPr>
          <w:p>
            <w:pPr>
              <w:pStyle w:val="TableContents"/>
              <w:bidi w:val="0"/>
              <w:spacing w:before="0" w:after="283"/>
              <w:jc w:val="left"/>
              <w:rPr/>
            </w:pPr>
            <w:hyperlink w:anchor="Y-011">
              <w:r>
                <w:rPr>
                  <w:rStyle w:val="InternetLink"/>
                  <w:rFonts w:ascii="Times New Roman;Times;Serif" w:hAnsi="Times New Roman;Times;Serif"/>
                  <w:b w:val="false"/>
                  <w:i w:val="false"/>
                  <w:caps w:val="false"/>
                  <w:smallCaps w:val="false"/>
                  <w:sz w:val="20"/>
                </w:rPr>
                <w:t>WHERE YOU CAN FIND ADDITIONAL INFORMATION</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w:t>
            </w:r>
          </w:p>
        </w:tc>
      </w:tr>
      <w:tr>
        <w:trPr/>
        <w:tc>
          <w:tcPr>
            <w:tcW w:w="5495" w:type="dxa"/>
            <w:tcBorders/>
            <w:shd w:fill="FFFFFF" w:val="clear"/>
            <w:vAlign w:val="center"/>
          </w:tcPr>
          <w:p>
            <w:pPr>
              <w:pStyle w:val="TableContents"/>
              <w:bidi w:val="0"/>
              <w:spacing w:before="0" w:after="283"/>
              <w:jc w:val="left"/>
              <w:rPr/>
            </w:pPr>
            <w:hyperlink w:anchor="Y-012">
              <w:r>
                <w:rPr>
                  <w:rStyle w:val="InternetLink"/>
                  <w:rFonts w:ascii="Times New Roman;Times;Serif" w:hAnsi="Times New Roman;Times;Serif"/>
                  <w:b w:val="false"/>
                  <w:i w:val="false"/>
                  <w:caps w:val="false"/>
                  <w:smallCaps w:val="false"/>
                  <w:sz w:val="20"/>
                </w:rPr>
                <w:t>INCORPORATION OF CERTAIN DOCUMENTS BY REFERENCE</w:t>
              </w:r>
            </w:hyperlink>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r>
    </w:tbl>
    <w:p>
      <w:pPr>
        <w:pStyle w:val="TextBody"/>
        <w:shd w:fill="FFFFFF" w:val="clear"/>
        <w:bidi w:val="0"/>
        <w:spacing w:before="0" w:after="0"/>
        <w:ind w:left="0" w:right="0" w:hanging="0"/>
        <w:jc w:val="left"/>
        <w:rPr>
          <w:caps w:val="false"/>
          <w:smallCaps w:val="false"/>
        </w:rPr>
      </w:pPr>
      <w:r>
        <w:rPr>
          <w:caps w:val="false"/>
          <w:smallCaps w:val="false"/>
        </w:rPr>
        <w:t> </w:t>
      </w:r>
    </w:p>
    <w:tbl>
      <w:tblPr>
        <w:tblW w:w="110" w:type="dxa"/>
        <w:jc w:val="left"/>
        <w:tblInd w:w="0" w:type="dxa"/>
        <w:tblLayout w:type="fixed"/>
        <w:tblCellMar>
          <w:top w:w="0" w:type="dxa"/>
          <w:left w:w="0" w:type="dxa"/>
          <w:bottom w:w="0" w:type="dxa"/>
          <w:right w:w="0" w:type="dxa"/>
        </w:tblCellMar>
      </w:tblPr>
      <w:tblGrid>
        <w:gridCol w:w="110"/>
      </w:tblGrid>
      <w:tr>
        <w:trPr/>
        <w:tc>
          <w:tcPr>
            <w:tcW w:w="110" w:type="dxa"/>
            <w:tcBorders/>
            <w:vAlign w:val="center"/>
          </w:tcPr>
          <w:p>
            <w:pPr>
              <w:pStyle w:val="TableContents"/>
              <w:bidi w:val="0"/>
              <w:spacing w:before="0" w:after="283"/>
              <w:jc w:val="center"/>
              <w:rPr/>
            </w:pPr>
            <w:r>
              <w:rPr/>
              <w:t>i</w:t>
            </w:r>
          </w:p>
        </w:tc>
      </w:tr>
    </w:tbl>
    <w:p>
      <w:pPr>
        <w:pStyle w:val="TextBody"/>
        <w:bidi w:val="0"/>
        <w:spacing w:before="0" w:after="0"/>
        <w:ind w:left="0" w:right="0" w:hanging="0"/>
        <w:jc w:val="left"/>
        <w:rPr/>
      </w:pPr>
      <w:r>
        <w:rPr/>
        <w:t> </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 w:name="Y-001"/>
      <w:bookmarkEnd w:id="2"/>
      <w:r>
        <w:rPr>
          <w:rFonts w:ascii="Times New Roman;Times;Serif" w:hAnsi="Times New Roman;Times;Serif"/>
          <w:b/>
          <w:i w:val="false"/>
          <w:caps w:val="false"/>
          <w:smallCaps w:val="false"/>
          <w:sz w:val="20"/>
        </w:rPr>
        <w:t>ABOUT THIS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is part of a registration statement that we filed with the Securities and Exchange Commission, or SEC. This prospectus does not contain all of the information included in the registration statement. For a more complete understanding of the offering of the securities, you should refer to the registration statement, including its exhibits. This prospectus, together with the documents incorporated by reference into this prospectus, includes all material information relating to the offering of securities under this prospectus. You should carefully read this prospectus, the information and documents incorporated herein by reference and the additional information under the heading “</w:t>
      </w:r>
      <w:r>
        <w:rPr>
          <w:rFonts w:ascii="Times New Roman;Times;Serif" w:hAnsi="Times New Roman;Times;Serif"/>
          <w:b w:val="false"/>
          <w:i/>
          <w:caps w:val="false"/>
          <w:smallCaps w:val="false"/>
          <w:sz w:val="20"/>
        </w:rPr>
        <w:t>Where You Can Find Additional Information</w:t>
      </w:r>
      <w:r>
        <w:rPr>
          <w:rFonts w:ascii="Times New Roman;Times;Serif" w:hAnsi="Times New Roman;Times;Serif"/>
          <w:b w:val="false"/>
          <w:i w:val="false"/>
          <w:caps w:val="false"/>
          <w:smallCaps w:val="false"/>
          <w:sz w:val="20"/>
        </w:rPr>
        <w:t>” before making an investment decision.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and the Selling Stockholders have not authorized anyone to provide you with information different from that contained or incorporated by reference in this prospectus. No dealer, salesperson or other person is authorized to give any information or to represent anything not contained or incorporated by reference in this prospectus. We and the Selling Stockholders take no responsibility for and can provide no assurances as to the reliability of, any other information that others may give you. This prospectus is an offer to sell only the securities offered hereby, but only under circumstances and in jurisdictions where it is lawful to do so. You should assume that the information in this prospectus or any prospectus supplement is accurate only as of the date on the front of the document and that any information incorporated herein by reference is accurate only as of the date of the document incorporated by reference, regardless of the time of delivery of this prospectus or any sale of a security.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further note that the representations, warranties and covenants made by us in any agreement that is filed as an exhibit to any document that is incorporated by reference in the accompanying prospectus were made solely for the benefit of the parties to such agreement, including, in some cases, for the purpose of allocating risk among the parties to such agreements,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affairs.</w:t>
      </w:r>
    </w:p>
    <w:p>
      <w:pPr>
        <w:pStyle w:val="TextBody"/>
        <w:bidi w:val="0"/>
        <w:spacing w:before="0" w:after="0"/>
        <w:ind w:left="0" w:right="0" w:firstLine="36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ii</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bookmarkStart w:id="3" w:name="Y-002"/>
      <w:bookmarkEnd w:id="3"/>
      <w:r>
        <w:rPr>
          <w:rFonts w:ascii="Times New Roman;Times;Serif" w:hAnsi="Times New Roman;Times;Serif"/>
          <w:b/>
          <w:i w:val="false"/>
          <w:caps/>
          <w:sz w:val="20"/>
        </w:rPr>
        <w:t>PROSPECTUS SUMMARY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following is a summary of what we believe to be the most important aspects of our business and a general description of the securities that may be offered for resale or other disposition by the Selling Stockholders. We urge you to read this entire prospectus, including the more detailed consolidated financial statements, notes to the consolidated financial statements and other information incorporated by reference from our other filings with the SEC. Investing in our securities involves risks. Therefore, carefully consider the risk factors set forth in our most recent annual and quarterly filings with the SEC, as well as other information in this prospectus and the documents incorporated by reference herein, before purchasing our securities. Each of the risk factors could adversely affect our business, operating results and financial condition, as well as adversely affect the value of an investment in our securities.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COMPANY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Stereotaxis designs, manufactures and markets robotic systems, instruments and information systems for the interventional laboratory. Our proprietary robotic technology, Robotic Magnetic Navigation, fundamentally transforms endovascular interventions using precise computer-controlled magnetic fields to directly control the tip of flexible interventional catheters or devices. Direct control of the tip of an interventional device, in contrast to all manual hand-held devices that are controlled from their handle, can improve the precision, stability, reach and safety of these devices during procedures.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primary clinical focus has been electrophysiology, specifically cardiac ablation procedures for the treatment of arrhythmias. Cardiac ablation has become a well-accepted therapy for arrhythmias and a multi-billion-dollar medical device market with expectations for substantial long-term growth. We have shared our aspiration and a product strategy to expand the clinical focus of our technology to several additional endovascular indications including coronary, neuro, and peripheral interventions.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substantial real-world evidence and clinical literature for Robotic Magnetic Navigation in electrophysiology. Hundreds of electrophysiologists at over one hundred hospitals globally have treated over 150,000 arrhythmia patients with our robotic technology. Clinical use of our technology has been documented in over 500 clinical publications. Robotic Magnetic Navigation is designed to enable physicians to complete more complex interventional procedures with greater success and safety by providing image-guided delivery of catheters through the blood vessels and chambers of the heart to treatment sites. This is achieved using externally applied computer-controlled magnetic fields that govern the motion of the working tip of the catheter, resulting in improved navigation. The more flexible atraumatic design of catheters driven using magnetic fields may reduce the risk of patient harm and other adverse events. Performing the procedure from a control cockpit enables physicians to complete procedures in a safe location protected from x-ray exposure, with greater ergonomics, and improved efficiency. We believe these benefits can be applicable in other endovascular indications where navigation through complex vasculature is often challenging or unsuccessful and generates significant x-ray exposure, and we are investing in research and development in these areas.</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primary products include the Genesis RMN and the GenesisX RMN Systems, the Synchrony &amp; SynX Solutions, various interventional devices under the Map-iT, MAGiC and EMAGIN brands, and other related devices. Through our strategic relationships with fluoroscopy system manufacturers, providers of catheters and electrophysiology mapping systems, and other parties, we offer our customers x-ray systems and other accessory diagnostic and therapeutic devices.</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w:t>
      </w:r>
      <w:r>
        <w:rPr>
          <w:rFonts w:ascii="Times New Roman;Times;Serif" w:hAnsi="Times New Roman;Times;Serif"/>
          <w:b w:val="false"/>
          <w:i/>
          <w:caps w:val="false"/>
          <w:smallCaps w:val="false"/>
          <w:sz w:val="20"/>
        </w:rPr>
        <w:t xml:space="preserve">Genesis RMN </w:t>
      </w:r>
      <w:r>
        <w:rPr>
          <w:rFonts w:ascii="Times New Roman;Times;Serif" w:hAnsi="Times New Roman;Times;Serif"/>
          <w:b w:val="false"/>
          <w:i w:val="false"/>
          <w:caps w:val="false"/>
          <w:smallCaps w:val="false"/>
          <w:sz w:val="20"/>
        </w:rPr>
        <w:t xml:space="preserve">and the </w:t>
      </w:r>
      <w:r>
        <w:rPr>
          <w:rFonts w:ascii="Times New Roman;Times;Serif" w:hAnsi="Times New Roman;Times;Serif"/>
          <w:b w:val="false"/>
          <w:i/>
          <w:caps w:val="false"/>
          <w:smallCaps w:val="false"/>
          <w:sz w:val="20"/>
        </w:rPr>
        <w:t xml:space="preserve">GenesisX RMN </w:t>
      </w:r>
      <w:r>
        <w:rPr>
          <w:rFonts w:ascii="Times New Roman;Times;Serif" w:hAnsi="Times New Roman;Times;Serif"/>
          <w:b w:val="false"/>
          <w:i w:val="false"/>
          <w:caps w:val="false"/>
          <w:smallCaps w:val="false"/>
          <w:sz w:val="20"/>
        </w:rPr>
        <w:t xml:space="preserve">Systems are designed to enable physicians to complete more complex interventional procedures by providing image-guided delivery of catheters through the blood vessels and chambers of the heart to treatment sites. This is achieved using externally applied magnetic fields that govern the motion of the working tip of the catheter, resulting in improved navigation, efficient procedures, and reduced x-ray exposure. The </w:t>
      </w:r>
      <w:r>
        <w:rPr>
          <w:rFonts w:ascii="Times New Roman;Times;Serif" w:hAnsi="Times New Roman;Times;Serif"/>
          <w:b w:val="false"/>
          <w:i/>
          <w:caps w:val="false"/>
          <w:smallCaps w:val="false"/>
          <w:sz w:val="20"/>
        </w:rPr>
        <w:t xml:space="preserve">GenesisX RMN </w:t>
      </w:r>
      <w:r>
        <w:rPr>
          <w:rFonts w:ascii="Times New Roman;Times;Serif" w:hAnsi="Times New Roman;Times;Serif"/>
          <w:b w:val="false"/>
          <w:i w:val="false"/>
          <w:caps w:val="false"/>
          <w:smallCaps w:val="false"/>
          <w:sz w:val="20"/>
        </w:rPr>
        <w:t>System</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rPr>
        <w:t xml:space="preserve">the latest generation of the </w:t>
      </w:r>
      <w:r>
        <w:rPr>
          <w:rFonts w:ascii="Times New Roman;Times;Serif" w:hAnsi="Times New Roman;Times;Serif"/>
          <w:b w:val="false"/>
          <w:i/>
          <w:caps w:val="false"/>
          <w:smallCaps w:val="false"/>
          <w:sz w:val="20"/>
        </w:rPr>
        <w:t>Genesis RMN</w:t>
      </w:r>
      <w:r>
        <w:rPr>
          <w:rFonts w:ascii="Times New Roman;Times;Serif" w:hAnsi="Times New Roman;Times;Serif"/>
          <w:b w:val="false"/>
          <w:i w:val="false"/>
          <w:caps w:val="false"/>
          <w:smallCaps w:val="false"/>
          <w:sz w:val="20"/>
        </w:rPr>
        <w:t xml:space="preserve"> System, is designed to significantly enhance the accessibility of Robotic Magnetic Navigation by reducing the lengthy construction cycle necessary to install prior generation RMN systems.</w:t>
      </w:r>
    </w:p>
    <w:p>
      <w:pPr>
        <w:pStyle w:val="TextBody"/>
        <w:bidi w:val="0"/>
        <w:spacing w:before="0" w:after="0"/>
        <w:ind w:left="0" w:right="0" w:firstLine="49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1</w:t>
            </w:r>
          </w:p>
        </w:tc>
      </w:tr>
    </w:tbl>
    <w:p>
      <w:pPr>
        <w:pStyle w:val="TextBody"/>
        <w:bidi w:val="0"/>
        <w:spacing w:before="0" w:after="0"/>
        <w:ind w:left="0" w:right="0" w:hanging="0"/>
        <w:jc w:val="left"/>
        <w:rPr/>
      </w:pPr>
      <w:r>
        <w:rPr/>
        <w:t> </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Synchrony system is designed to digitize and modernize the interventional catheter lab. Synchrony’s ultra-high-definition display consolidates the viewing and control of all disparate systems in the lab, offering an enhanced procedure experience with custom layouts, streamlined workflows, an intuitive user interface, and a decluttered environment. Synchrony digitizes the video streams with full fidelity and ultra-low latency, offering crystal-clear visualization. Its architecture allows obsolescence protection for labs as new technologies are introduced in the future. Synchrony is made available with SynX, a cloud-based HIPAA and GDPR-compliant app that allows for secure remote connectivity, collaboration, recording, and monitoring of the cath lab. These technologies are sold alongside RMN systems and as stand-alone solutions.</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pursue arrangements with fluoroscopy system manufacturers to provide such systems in a bundled purchase offer for hospitals establishing robotic interventional operating rooms. An integrated x-ray system is critical for customer adoption of RMN systems, and when offered as a bundled purchase with the RMN System, it may reduce the cost of acquisition, the ongoing cost of ownership, and the complexity of installation of a robotic electrophysiology practice.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promote our full suite of products necessary for a typical hospital implementation, subject to regulatory approvals or clearances. This implementation requires a hospital to agree to an upfront capital payment and recurring payments. The upfront capital payment typically includes equipment and installation charges. The recurring payments typically include disposable costs for each procedure, equipment service costs beyond the warranty period, and ongoing software updates. In hospitals where our full suite of products has not been implemented, equipment upgrade or expansion can be implemented upon purchasing of the necessary upgrade or expansion.</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strategic relationships with technology leaders and innovators in the global interventional market. Through these strategic relationships we provide compatibility with our robotic magnetic navigation system, integrated x-ray systems, digital imaging and 3D catheter location sensing technology, and compatible disposable interventional devices. The maintenance of these strategic relationships, or the establishment of equivalent alternatives, is critical to our commercialization efforts. There are no guarantees that any existing strategic relationships will continue, and efforts are ongoing to ensure the availability of compatible systems and devices and/or equivalent alternatives. We cannot provide assurance as to the timeline of the ongoing availability of such compatible systems or our ability to obtain equivalent alternatives on competitive terms or at all.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were incorporated in Delaware in June 1990. Our principal executive offices are located at 710 North Tucker Boulevard, Suite 110, Saint Louis, Missouri 63101, and our telephone number is (314) 678-6100. Our website address is www.stereotaxis.com. Information contained on our website is not incorporated by reference into and does not form any part of this prospectus. As used in this prospectus, references to “Company”, “we”, “our”, “us” and “Stereotaxis” refer to Stereotaxis, Inc. unless the context requires otherwise. GenesisX RMN</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Genesis RMN</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Niobe</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Navigant</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Synchrony™, SynX™, Odyssey</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Odyssey Cinema</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MAGiC™, MAGiC Sweep™, EMAGIN™, Map-iT™, QuikCAS</w:t>
      </w:r>
      <w:r>
        <w:rPr>
          <w:rFonts w:ascii="Times New Roman;Times;Serif" w:hAnsi="Times New Roman;Times;Serif"/>
          <w:b w:val="false"/>
          <w:i w:val="false"/>
          <w:caps w:val="false"/>
          <w:smallCaps w:val="false"/>
          <w:position w:val="7"/>
          <w:sz w:val="16"/>
          <w:sz w:val="20"/>
        </w:rPr>
        <w:t xml:space="preserve">™, </w:t>
      </w:r>
      <w:r>
        <w:rPr>
          <w:rFonts w:ascii="Times New Roman;Times;Serif" w:hAnsi="Times New Roman;Times;Serif"/>
          <w:b w:val="false"/>
          <w:i w:val="false"/>
          <w:caps w:val="false"/>
          <w:smallCaps w:val="false"/>
          <w:sz w:val="20"/>
        </w:rPr>
        <w:t>Cardiodrive</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Vdrive</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Vdrive Duo</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V-CAS</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V-Loop</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V-Sono</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and NuVizion™ are trademarks of Stereotaxis, Inc. All other trademarks that appear in this report are the property of their respective owners.</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 DEVELOPMENTS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7, 2026, the Company completed its Acquisition of Robocath for approximately $20.0 million of cash and common stock. Pursuant to the Share Sale Agreement, dated as of April 14, 2026, by and among Stereotaxis, the Securityholders of Robocath party thereto and an individual serving as manager, the Company acquired shares and other securities collectively representing 100% of the share capital and voting power of Robocath (on a fully-diluted basis) from the Securityholders. Robocath, headquartered in Rouen, France is a venture-backed innovator of advanced mechanical robotic technology for interventional cardiology and neurointerventions.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closing of the Acquisition, the Company made certain cash payments for the benefit of the Securityholders and issued (i) 1,469,485 shares of its common stock and (ii) “pre-funded” warrants (the “Purchaser Warrants”) to purchase 4,575,143 shares of its common stock to the Securityholders, in accordance with the terms and subject to the conditions set forth in the Share Sale Agreement. The Purchaser Warrants were issued to a Robocath securityholder that elected, as permitted by the Share Sale Agreement, to receive Purchaser Warrants in the Acquisition in lieu of shares of common stock it would have otherwise received under the Share Sale Agreement. Each Purchaser Warrant issued at closing entitles the holder thereof to acquire one share of our common stock at an exercise price equal to the par value of such common stock and is exercisable at any time from the date of issuance until July 7, 2031. In addition, at the closing of the Acquisition, we also issued 225,000 shares of our common stock to Robocath’s financial advisor as partial payment of a success fee for acquisition advisory services rendered to Robocath and its Securityholders in connection with the Acquisition.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upfront consideration, we agreed to pay the Securityholders additional earnout consideration of up to $25.0 million upon the achievement of certain milestones, consisting of (i) $10 million upon the achievement of one regulatory milestone based on receipt of US FDA regulatory approval of certain next-generation interventional medical devices that Robocath currently has in development and (ii) up to $15 million for two commercial sales milestones, in the amounts of $5 million and $10 million, respectively. Robocath’s financial advisor will be entitled to additional fees upon payment of such earnouts. The earnout payments (and additional fees) are deliverable in the form of cash, a number of shares of Stereotaxis common stock (or Purchaser Warrants in lieu thereof subject to the continuing election of the eligible Securityholder) to be calculated in accordance with valuation formulas set forth in the Share Sale Agreement, or a combination of cash and stock (or Purchaser Warrants), provided that the aggregate number of shares that may be issuable as upfront stock consideration (including on exercise of any Purchaser Warrants) and in respect of the foregoing regulatory and the commercial milestones and as payment to Robocath’s financial advisor may not exceed 19.9% of the total number of shares of the Company’s common stock issued and outstanding immediately prior to the closing (the “NYSE American Share Cap”), without obtaining any required stockholder approval under the NYSE American rules. The 19,449,603 shares of common stock covered by the registration statement of which this prospectus forms a part represents 19.9% of the shares of the Company’s common stock issued and outstanding as of April 30, 2026, which is slightly fewer than the total number of shares we may issue under the NYSE American Share Cap. The exact number of shares and/or Purchaser Warrants, if any, to be issued under the Share Sale Agreement for earnout payments would be determined using the value of the Company’s common stock at the time(s) such commercial or regulatory milestones are achieved, based on the average of the closing per share price of the Company’s common stock for each of the five trading days ending on the second business day prior to payment date for such milestones, and will in any event be reduced to the extent the Company elects to pay the milestone consideration in cash, as a result of the NYSE American Share Cap or otherwise. This description of the terms of the Share Sale Agreement is a summary only and is qualified in its entirety by reference to the full text of the Share Sale Agreement, which is filed as Exhibit 2.1 to the registration statement of which this prospectus forms a part and incorporated herein by reference.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Acquisition, the Company and the Securityholders entered into a Resale Organization Agreement, dated as of July 7, 2026 (the “Resale Organization Agreement”), which is intended to facilitate the orderly resale of shares of our common stock (including shares issuable upon exercise of Purchaser Warrants) held by the Selling Stockholders following the closing of the Acquisition. The Resale Organization Agreement imposes certain volume limitations on open-market sales by the Selling Stockholders and grants the European Investment Bank priority resale rights during an initial period following the closing of the Acquisition. See “</w:t>
      </w:r>
      <w:r>
        <w:rPr>
          <w:rFonts w:ascii="Times New Roman;Times;Serif" w:hAnsi="Times New Roman;Times;Serif"/>
          <w:b w:val="false"/>
          <w:i/>
          <w:caps w:val="false"/>
          <w:smallCaps w:val="false"/>
          <w:sz w:val="20"/>
        </w:rPr>
        <w:t>Selling Stockholders—Resale Organization Agreement</w:t>
      </w:r>
      <w:r>
        <w:rPr>
          <w:rFonts w:ascii="Times New Roman;Times;Serif" w:hAnsi="Times New Roman;Times;Serif"/>
          <w:b w:val="false"/>
          <w:i w:val="false"/>
          <w:caps w:val="false"/>
          <w:smallCaps w:val="false"/>
          <w:sz w:val="20"/>
        </w:rPr>
        <w:t>” below for a description of this Agreement.</w:t>
      </w:r>
    </w:p>
    <w:p>
      <w:pPr>
        <w:pStyle w:val="TextBody"/>
        <w:bidi w:val="0"/>
        <w:spacing w:before="0" w:after="0"/>
        <w:ind w:left="0" w:right="0" w:firstLine="36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bookmarkStart w:id="4" w:name="Y-003"/>
      <w:bookmarkEnd w:id="4"/>
      <w:r>
        <w:rPr>
          <w:rFonts w:ascii="Times New Roman;Times;Serif" w:hAnsi="Times New Roman;Times;Serif"/>
          <w:b/>
          <w:i w:val="false"/>
          <w:caps/>
          <w:sz w:val="20"/>
        </w:rPr>
        <w:t>RISK FACTORS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Investing in our securities involves a high degree of risk. Prior to making a decision about investing in our securities, you should carefully consider the following risk factors as well as all of the information appearing or incorporated by reference in this prospectus. You should also consider the risks, uncertainties and assumptions discussed under the heading “</w:t>
      </w:r>
      <w:r>
        <w:rPr>
          <w:rFonts w:ascii="Times New Roman;Times;Serif" w:hAnsi="Times New Roman;Times;Serif"/>
          <w:b w:val="false"/>
          <w:i/>
          <w:caps w:val="false"/>
          <w:smallCaps w:val="false"/>
          <w:sz w:val="20"/>
        </w:rPr>
        <w:t>Risk Factors</w:t>
      </w:r>
      <w:r>
        <w:rPr>
          <w:rFonts w:ascii="Times New Roman;Times;Serif" w:hAnsi="Times New Roman;Times;Serif"/>
          <w:b w:val="false"/>
          <w:i w:val="false"/>
          <w:caps w:val="false"/>
          <w:smallCaps w:val="false"/>
          <w:sz w:val="20"/>
        </w:rPr>
        <w:t>” included in our Annual Report on Form 10-K for the year ended December 31, 2025, as revised or supplemented by our subsequent Quarterly Reports on Form 10-Q or our Current Reports on Form 8-K that we have filed with the SEC, all of which are incorporated herein by reference, and which may be amended, supplemented or superseded from time to time by other reports we file with the SEC in the future. For a description of these reports and documents, and information about where you can find them, see the sections entitled “</w:t>
      </w:r>
      <w:r>
        <w:rPr>
          <w:rFonts w:ascii="Times New Roman;Times;Serif" w:hAnsi="Times New Roman;Times;Serif"/>
          <w:b w:val="false"/>
          <w:i/>
          <w:caps w:val="false"/>
          <w:smallCaps w:val="false"/>
          <w:sz w:val="20"/>
        </w:rPr>
        <w:t>Where you Can Find Additional Information</w:t>
      </w:r>
      <w:r>
        <w:rPr>
          <w:rFonts w:ascii="Times New Roman;Times;Serif" w:hAnsi="Times New Roman;Times;Serif"/>
          <w:b w:val="false"/>
          <w:i w:val="false"/>
          <w:caps w:val="false"/>
          <w:smallCaps w:val="false"/>
          <w:sz w:val="20"/>
        </w:rPr>
        <w:t>” and “</w:t>
      </w:r>
      <w:r>
        <w:rPr>
          <w:rFonts w:ascii="Times New Roman;Times;Serif" w:hAnsi="Times New Roman;Times;Serif"/>
          <w:b w:val="false"/>
          <w:i/>
          <w:caps w:val="false"/>
          <w:smallCaps w:val="false"/>
          <w:sz w:val="20"/>
        </w:rPr>
        <w:t>Incorporation of Certain Documents by Reference</w:t>
      </w:r>
      <w:r>
        <w:rPr>
          <w:rFonts w:ascii="Times New Roman;Times;Serif" w:hAnsi="Times New Roman;Times;Serif"/>
          <w:b w:val="false"/>
          <w:i w:val="false"/>
          <w:caps w:val="false"/>
          <w:smallCaps w:val="false"/>
          <w:sz w:val="20"/>
        </w:rPr>
        <w:t>” in this prospectus. The risks and uncertainties we have described are not the only ones we face. Additional risks and uncertainties not presently known to us or that we currently deem immaterial may also affect our operations. The occurrence of any of these risks might cause you to lose all or part of your investment in the offered securities.</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our Recently Completed Acquisition of Robocath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be unable to successfully integrate Robocath into our business and may fail to realize any or all of the anticipated benefits of the acquisition, or those benefits may take longer to realize than expected.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the completion of our acquisition of Robocath, both companies previously operated independently and manufactured different products. The success of the acquisition will depend, in part, on our ability to (i) successfully integrate Robocath’s businesses into Stereotaxis, (ii) successfully manufacture, commercialize, develop and sell Robocath’s robotic systems and next-generation interventional medical devices and related products, and (iii) realize the anticipated benefits, including synergies, cost savings, growth and innovation opportunities and operational efficiencies, from the Acquisition, all in a manner that does not materially disrupt existing customer, supplier and employee relations. If we are unable to achieve these objectives within the anticipated time frame, or at all, the anticipated benefits may not be realized fully or at all, or may take longer to realize than expected, and the value of our common stock may decline.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integration of Robocath into our business may result in material challenges, including, without limitation:</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diversion of management’s attention from ongoing business concerns relating to our historical business and any resulting disruption to our current plans and operations;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managing a more complex combined business;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expanding operations to manufacture Robocath’s robotic systems and associated disposable products and overcoming our lack of manufacturing experience related to such products;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maintaining employee morale, retaining key Robocath employees and the possibility that the integration process and organizational changes may adversely impact the ability to maintain employee relationships;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transitioning and maintaining business and operational relationships of Robocath, including suppliers, collaboration partners, employees and other counterparties;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risks related to retaining Robocath’s existing customers, including managing existing contracts with and any disputes with such customers;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integration process not proceeding as expected, including due to a possibility of faulty assumptions or expectations regarding the integration process or Robocath’s operations;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risks related to litigation, disputes, investigations or other events that could increase our expenses, result in liability or require that we take other action;</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consolidating corporate, administrative and compliance infrastructures and eliminating duplicative operations;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communication and logistical challenges associated with coordinating activities and maintaining consistent operational standards across widely-different locations, separated by both geography and time zones;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unanticipated issues in integrating information technology, communications and other systems;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unforeseen expenses, costs, liabilities or delays associated with the Acquisition or the integration;</w:t>
            </w:r>
          </w:p>
        </w:tc>
      </w:tr>
    </w:tbl>
    <w:p>
      <w:pPr>
        <w:pStyle w:val="TextBody"/>
        <w:bidi w:val="0"/>
        <w:spacing w:before="0" w:after="283"/>
        <w:jc w:val="left"/>
        <w:rPr/>
      </w:pPr>
      <w:r>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complying with diverse and unfamiliar foreign laws or regulatory requirements, or unexpected changes to those laws or requirements, including healthcare-specific regulatory regimes applicable to Robocath’s business in France and other jurisdictions, including managing relationships with our regulators or other governmental authorities;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increased costs and monitoring of compliance with other laws and regulatory requirements to which our business activities abroad are currently subject, such as the U.S. Foreign Corrupt Practices Act and anti-corruption laws, and similar laws with a significant anti-corruption intent in France and other foreign countries, in which we and Robocath operate;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differing payor reimbursement regimes, governmental payors and price controls applicable to medical devices in foreign markets;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managing any competitive responses to the Acquisition;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compliance with French corporate law applicable to Robocath, with which we are not familiar;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cultural differences in the conduct of business.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Many of these factors are outside of our control, and any one of them could result in delays, increased costs, decreases in the amount of expected cost savings or synergies and diversion of management’s time and energy, which could materially affect our financial position, results of operations and cash flows.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Robocath acquisition will not be accretive to us and will increase our operating losses.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we consider the acquisition of Robocath as complementary to our existing business, Robocath has sustained historical operating losses, and we expect that it will continue to incur operating losses and negative cash flows in the coming few years. We may be required to fund Robocath’s ongoing operations for the foreseeable future. For example, we extended operating loans to Robocath of $1.1 million between signing of the Share Sale Agreement and the acquisition closing, which loans were repaid at closing and reduced the amount of the Upfront Stock Consideration we paid to Robocath’s equityholders. Accordingly, the Robocath acquisition will not be accretive to us and will increase our operating losses and negatively impact our results of operations on a consolidated basis in the near term. While we have plans to improve Robocath’s operating results primarily through leveraging our commercial organization to grow revenue of their next-generation system, we may not be successful in doing so in the near term or at all.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future results may be adversely impacted if we do not effectively manage Robocath’s robotic systems and disposable products business following the completion of the acquisition.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 acquisition, we will be managing Robocath’s ongoing business of manufacturing, commercializing, developing and selling robotic systems and associated disposable products and services. The manufacturing and development process of such robotic systems and disposable products is complex, highly technical, and our prior experience in this field is dated. The process can be subject to periodic worldwide supply chain disruptions, including labor shortages and inflationary pressures, and logistics delays which make it difficult for us to source parts and ship our products. We may require a higher level of overhead than currently anticipated. Our ability to successfully manage this new aspect of our business will depend, in part, upon management’s ability to design and implement strategic initiatives that address not only the integration of Robocath into us, but also the increased scope of the combined business with its associated increased costs and complexity. There can be no assurances that we will be successful in manufacturing and commercializing Robocath’s robotic systems and disposable products or that we will realize the expected operating efficiencies, cost savings and other benefits anticipated from the acquisition.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issuance of the earnout consideration using Earnout Shares will result in dilution to our stockholders and may adversely affect us, including the market price of our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closing of the acquisition of Robocath on July 7, 2026, we issued 6,269,628 shares of our common stock as Closing Shares (including shares of common stock issuable upon exercise of Purchaser Warrants issued to certain of the Selling Stockholders in lieu of Closing Shares and 225,000 shares of common stock issued to Robocath’s financial advisor as partial payment of a success fee for acquisition advisory services rendered to Robocath and its securityholders in connection with the Acquisition). In addition, the Share Sale Agreement requires us to pay up to $25 million of additional earnout consideration to the Selling Stockholders upon achievement of the Regulatory Milestone and/or the Commercial Milestones, which we may pay in cash, by issuing Earnout Shares (including shares of common stock issuable upon exercise of Purchaser Warrants issued to certain of the Selling Stockholders in lieu of Earnout Shares), or in a combination of cash and Earnout Shares (or Purchaser Warrants), at our election.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Share Sale Agreement obligated us to file a resale registration statement (of which this prospectus is a part) relating to the 6,269,628 Closing Shares and to Earnout Shares that may be issuable pursuant to the earnout provisions in the Share Sale Agreement. We have elected to register </w:t>
      </w:r>
      <w:r>
        <w:rPr>
          <w:rFonts w:ascii="Times New Roman;Times;Serif" w:hAnsi="Times New Roman;Times;Serif"/>
          <w:b w:val="false"/>
          <w:i w:val="false"/>
          <w:caps w:val="false"/>
          <w:smallCaps w:val="false"/>
          <w:sz w:val="20"/>
          <w:shd w:fill="FFFFFF" w:val="clear"/>
        </w:rPr>
        <w:t xml:space="preserve">13,179,975 of such </w:t>
      </w:r>
      <w:r>
        <w:rPr>
          <w:rFonts w:ascii="Times New Roman;Times;Serif" w:hAnsi="Times New Roman;Times;Serif"/>
          <w:b w:val="false"/>
          <w:i w:val="false"/>
          <w:caps w:val="false"/>
          <w:smallCaps w:val="false"/>
          <w:sz w:val="20"/>
        </w:rPr>
        <w:t>Earnout Shares; however, the exact number of shares we may issue under the Share Sale Agreement as earnout consideration will depend on: (i) whether and to what extent the Regulatory and/or the Commercial Milestones are achieved; (ii) whether we elect to pay all or a portion of such consideration in cash or using Earnout Shares (or Purchaser Warrants); and (iii) the actual average closing price of our common stock calculated pursuant to a formula near the time such milestones are achieved. The Share Sale Agreement provides for a cap on the number of Earnout Shares, when combined with the Closing Shares, of 19.9% of the total number of shares of our common stock issued and outstanding as of July 7, 2026, which is approximately the number of Earnout Shares covered by this prospectus.</w:t>
      </w:r>
    </w:p>
    <w:p>
      <w:pPr>
        <w:pStyle w:val="TextBody"/>
        <w:bidi w:val="0"/>
        <w:spacing w:before="0" w:after="0"/>
        <w:ind w:left="0" w:right="0" w:firstLine="36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5</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a result of the foregoing, if the Regulatory and/or Commercial Milestones are achieved, we could elect to issue all of the </w:t>
      </w:r>
      <w:r>
        <w:rPr>
          <w:rFonts w:ascii="Times New Roman;Times;Serif" w:hAnsi="Times New Roman;Times;Serif"/>
          <w:b w:val="false"/>
          <w:i w:val="false"/>
          <w:caps w:val="false"/>
          <w:smallCaps w:val="false"/>
          <w:sz w:val="20"/>
          <w:shd w:fill="FFFFFF" w:val="clear"/>
        </w:rPr>
        <w:t xml:space="preserve">Earnout Shares in addition </w:t>
      </w:r>
      <w:r>
        <w:rPr>
          <w:rFonts w:ascii="Times New Roman;Times;Serif" w:hAnsi="Times New Roman;Times;Serif"/>
          <w:b w:val="false"/>
          <w:i w:val="false"/>
          <w:caps w:val="false"/>
          <w:smallCaps w:val="false"/>
          <w:sz w:val="20"/>
        </w:rPr>
        <w:t>to the Closing Shares we issued at the closing of the Acquisition, which would cause significant additional dilution to the Company’s stockholders. Moreover, even if we are not required to issue any Earnout Shares, the potential for the issuance of such shares may negatively affect the trading price of our common stock in anticipation of such potential dilution. Sales of a substantial number of shares comprising the Closing Shares or any Earnout Shares in the public market, or the perception that such sales may occur, could adversely affect the market price of our securities.</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Under certain circumstances, we may take certain actions to achieve the milestones under the Share Sale Agreement that we would not have undertaken if we had not completed the acquisition, which may have an adverse effect on the historical business of Stereotaxis</w:t>
      </w:r>
      <w:r>
        <w:rPr>
          <w:rFonts w:ascii="Times New Roman;Times;Serif" w:hAnsi="Times New Roman;Times;Serif"/>
          <w:b w:val="false"/>
          <w:i w:val="false"/>
          <w:caps w:val="false"/>
          <w:smallCaps w:val="false"/>
          <w:sz w:val="20"/>
        </w:rPr>
        <w:t>.</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particular, during the earnout periods under our Share Sale Agreement, which include a regulatory milestone period ending on December 31, 2033 and two commercial milestone periods ending on December 31, 2035 and December 31, 2037, respectively, we agreed to use commercially reasonable efforts (as defined in the Share Sale Agreement) to complete the development of Robocath’s next-generation R-Two Products, including product development, manufacturing, and clinical and regulatory efforts to obtain FDA regulatory approval and regulatory authorization in Europe, and, subject to obtaining such authorizations, to commercialize the R-Two Products in the applicable territories. We also agreed to use commercially reasonable efforts to retain Robocath employees, on an employment or consulting basis, necessary to achieve the regulatory and commercial milestones and to ensure such individuals have adequate means, resources and support to perform their duties effectively.</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we retain the sole authority to operate and control Robocath’s business and its operations, including without limitation, any and all decisions relating to various aspects of the combined business, we may nevertheless take certain actions related to the milestones that we would not have undertaken if we had not completed the acquisition.</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Robocath has historically been a private company that prepared its financial statements in accordance with French GAAP and was not subject to SEC reporting obligations, and we may encounter significant difficulties in integrating Robocath’s financial reporting and internal controls with our own.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our acquisition, Robocath was not required to maintain the financial reporting processes, internal controls over financial reporting, or public company governance practices that are required of U.S. public companies. Developing and managing these processes at Robocath, including the preparation of timely and accurate financial information for inclusion in our SEC filings and the implementation of internal controls, procedures, and policies appropriate for a U.S.-based public company, will require significant management attention, resources and expenditures. In addition, Robocath has historically prepared its financial statements in accordance with French generally accepted accounting principles, which differ in significant respects from U.S. GAAP. The conversion of Robocath’s historical financial data and ongoing accounting practices to U.S. GAAP may present substantial challenges, and we may encounter difficulties in identifying and correcting deficiencies in Robocath’s internal controls over financial reporting that arise from these differences in accounting standards and practices. Any failure to successfully convert Robocath’s financial data and accounting practices to U.S. GAAP, or to establish and maintain adequate financial reporting processes and internal controls at Robocath, could result in material weaknesses or significant deficiencies in our internal controls over financial reporting, errors or delays in our consolidated financial reporting, restatements of our consolidated financial statements, additional audit costs, regulatory scrutiny, or increased legal or financial risk, any of which could have a material adverse effect on our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French labor and employment laws applicable to Robocath’s employees may increase our operational costs and adversely affect our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 the employees of our subsidiary, Robocath, are employed outside the United States, including in France, where labor and employment laws are relatively stringent and, in many cases, grant significant job protection to certain employees, including rights upon termination of employment. In addition, Robocath’s employees may be members of unions or represented by a works council as required by applicable French law, and we may be required to consult with such unions or works councils in connection with certain operational decisions. These more stringent labor and employment laws, to the extent that they are applicable, coupled with any requirement to consult with the relevant unions or works councils, could increase our operational costs with respect to our employees at Robocath. If such increased operational costs become significant, our business, financial condition, and results of operations could be adversely affected, perhaps materially.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face significant tax risks and uncertainties in connection with Robocath’s operations, including challenges relating to transfer pricing, withholding taxes, and local tax compliance.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Robocath’s operations are subject to French corporate income tax, local business taxes and various other French and EU taxes. Following the acquisition, intercompany transactions between Robocath and our US operations may be subject to complex transfer pricing rules, which require that such transactions be conducted at arm’s length. In addition, dividends, interest, and other payments to us by Robocath may be subject to French withholding taxes, potentially subject to reduction under the US-France tax treaty. Our limited experience with French tax compliance and intercompany pricing increases the risk of disputes, adjustments, or penalties that could adversely affect our financial results.</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6</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bookmarkStart w:id="5" w:name="Y-004"/>
      <w:bookmarkEnd w:id="5"/>
      <w:r>
        <w:rPr>
          <w:rFonts w:ascii="Times New Roman;Times;Serif" w:hAnsi="Times New Roman;Times;Serif"/>
          <w:b/>
          <w:i w:val="false"/>
          <w:caps/>
          <w:sz w:val="20"/>
        </w:rPr>
        <w:t>FORWARD-LOOKING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prospectus contains “forward-looking” statements within the meaning of the Private Securities Litigation Reform Act of 1995. These statements relate to, among other things:</w:t>
      </w:r>
    </w:p>
    <w:p>
      <w:pPr>
        <w:pStyle w:val="TextBody"/>
        <w:bidi w:val="0"/>
        <w:spacing w:before="0" w:after="0"/>
        <w:ind w:left="0" w:right="0" w:firstLine="49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operating, sales and marketing, and regulatory strategies;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value proposition;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overall liquidity and our ability to fund operations;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convert backlog to revenue;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Risks related to our recently completed acquisition of Robocath, as set forth in “Risk Factors” above;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ability of physicians to perform certain medical procedures with our products safely, effectively and efficiently;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adoption of our products by hospitals and physicians;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market opportunity for our products, including expected demand for our products;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timing and prospects for regulatory approval of our additional disposable interventional devices;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success of our business partnerships and strategic relationships;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industry generally, and overall macroeconomic conditions;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estimates regarding our capital requirements;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plans for hiring additional personnel;</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Business acquisitions, including the acquisition of Robocath, our ability to achieve the strategic and other objectives of any such acquisitions, and the risk that we may be unable to integrate the operations of acquired companies successfully and within the expected time period;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of our other plans, objectives, expectations and intentions contained or incorporated into this prospectus that are not historical facts.</w:t>
            </w:r>
          </w:p>
        </w:tc>
      </w:tr>
    </w:tbl>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statements relate to future events or future financial performance, and involve known and unknown risks, uncertainties, and other factors that may cause our actual results, levels of activity, performance or achievements to be materially different from any future results, levels of activity, performance or achievements expressed or implied by such forward-looking statements. In some cases, you can identify forward-looking statements by terminology such as “may”, “will”, “should”, “could”, “expects”, “plans”, “intends”, “anticipates”, “believes”, “estimates”, “predicts”, “potential”, or “continue”, or the negative of such terms or other comparable terminology. Although we believe that the expectations reflected in the forward-looking statements are reasonable, we cannot guarantee future results, levels of activity, performance, or achievements. These statements are only predictions.</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Factors that may cause our actual results to differ materially from our forward-looking statements include, among others, changes in general economic and business conditions and the risks and other factors set forth in “</w:t>
      </w:r>
      <w:r>
        <w:rPr>
          <w:rFonts w:ascii="Times New Roman;Times;Serif" w:hAnsi="Times New Roman;Times;Serif"/>
          <w:b w:val="false"/>
          <w:i/>
          <w:caps w:val="false"/>
          <w:smallCaps w:val="false"/>
          <w:sz w:val="20"/>
        </w:rPr>
        <w:t>Risk Factors</w:t>
      </w:r>
      <w:r>
        <w:rPr>
          <w:rFonts w:ascii="Times New Roman;Times;Serif" w:hAnsi="Times New Roman;Times;Serif"/>
          <w:b w:val="false"/>
          <w:i w:val="false"/>
          <w:caps w:val="false"/>
          <w:smallCaps w:val="false"/>
          <w:sz w:val="20"/>
        </w:rPr>
        <w:t>” in this prospectus and elsewhere in our Annual Report on Form 10-K for the year ended December 31, 2025, as revised or supplemented by our subsequent quarterly reports on Form 10-Q or our current reports on Form 8-K, as well as any amendments thereto, as filed with the SEC and which are incorporated herein by reference.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actual results may be materially different from what we expect. We undertake no duty to update these forward-looking statements after the date of this prospectus, even though our situation may change in the future. We qualify all of our forward-looking statements by these cautionary statements.</w:t>
      </w:r>
    </w:p>
    <w:p>
      <w:pPr>
        <w:pStyle w:val="TextBody"/>
        <w:bidi w:val="0"/>
        <w:spacing w:before="0" w:after="0"/>
        <w:ind w:left="0" w:right="0" w:firstLine="49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7</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bookmarkStart w:id="6" w:name="Y-005"/>
      <w:bookmarkEnd w:id="6"/>
      <w:r>
        <w:rPr>
          <w:rFonts w:ascii="Times New Roman;Times;Serif" w:hAnsi="Times New Roman;Times;Serif"/>
          <w:b/>
          <w:i w:val="false"/>
          <w:caps/>
          <w:sz w:val="20"/>
        </w:rPr>
        <w:t>USE OF PROCEEDS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Stockholders will receive all of the proceeds from the sale of shares of common stock under this prospectus. We will not receive any proceeds from these sales or any other dispositions.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any exercise of the Purchaser Warrants for cash, the applicable Selling Stockholder would pay us the exercise price set forth in the applicable Purchaser Warrants. Each Purchaser Warrant has an exercise price equal to $0.001 per share, and if all 9,273,249 Purchaser Warrants issued or anticipated to become issuable under the Share Sale Agreement are exercised on a cash basis, we will receive de minimis proceeds of approximately $9,273, which we intend to use for working capital and general corporate purposes. The Purchaser Warrants are also exercisable on a cashless basis. If any of the Purchaser Warrants are exercised on a cashless basis, we would not receive any cash payment from the applicable Selling Stockholder upon any such exercise.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Stockholders will pay any underwriting discounts and agent’s commissions and expenses they incur for brokerage, accounting, tax or legal services or any other expenses they incur in disposing of the shares. We will bear all other costs, fees and expenses incurred in effecting the registration of the shares covered by this prospectus. These may include, without limitation, all registration and filing fees, SEC filing fees and expenses of compliance with state securities or “blue sky” laws.</w:t>
      </w:r>
    </w:p>
    <w:p>
      <w:pPr>
        <w:pStyle w:val="TextBody"/>
        <w:bidi w:val="0"/>
        <w:spacing w:before="0" w:after="0"/>
        <w:ind w:left="0" w:right="0" w:firstLine="36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8</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bookmarkStart w:id="7" w:name="Y-006"/>
      <w:bookmarkEnd w:id="7"/>
      <w:r>
        <w:rPr>
          <w:rFonts w:ascii="Times New Roman;Times;Serif" w:hAnsi="Times New Roman;Times;Serif"/>
          <w:b/>
          <w:i w:val="false"/>
          <w:caps/>
          <w:sz w:val="20"/>
        </w:rPr>
        <w:t>SELLING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Pursuant to the Share Sale Agreement, we completed the acquisition of 100% of the share capital of Robocath, a venture-backed innovator of advanced mechanical robotic technology for interventional cardiology and neurointerventions headquartered in Rouen, France, on July 7, 2026, and issued 1,694,485 Closing Shares (including 1,469,485 Closing Shares issued to the Securityholders and 225,000 Closing Shares issued to Robocath’s financial advisor as partial payment of a success fee for acquisition advisory services rendered in connection with the Acquisition) and </w:t>
      </w:r>
      <w:r>
        <w:rPr>
          <w:rFonts w:ascii="Times New Roman;Times;Serif" w:hAnsi="Times New Roman;Times;Serif"/>
          <w:b w:val="false"/>
          <w:i w:val="false"/>
          <w:caps w:val="false"/>
          <w:smallCaps w:val="false"/>
          <w:sz w:val="20"/>
          <w:shd w:fill="FFFFFF" w:val="clear"/>
        </w:rPr>
        <w:t>4,575</w:t>
      </w:r>
      <w:r>
        <w:rPr>
          <w:rFonts w:ascii="Times New Roman;Times;Serif" w:hAnsi="Times New Roman;Times;Serif"/>
          <w:b w:val="false"/>
          <w:i w:val="false"/>
          <w:caps w:val="false"/>
          <w:smallCaps w:val="false"/>
          <w:sz w:val="20"/>
        </w:rPr>
        <w:t>,143 Purchaser Warrants (in lieu of Closing Shares) to a Robocath Securityholder that elected, as permitted by the Share Sale Agreement, to receive Purchaser Warrants in the Acquisition in lieu of shares of Common Stock it would have otherwise received under the Share Sale Agreement. Under the terms of the Share Sale Agreement, we will become obligated to pay certain additional earnout consideration of up to $25.0 million to the Selling Stockholders upon achievement of certain regulatory and commercial milestones specified in the Share Sale Agreement, as well as certain additional fees to Robocath’s financial advisor. We may satisfy such payment obligations, at our election, in cash, by issuing Earnout Shares (including shares issuable to Robocath’s financial advisor or upon exercise of Purchaser Warrants issued to certain of the Selling Stockholders in lieu of Earnout Shares), or in a combination of cash and Earnout Shares (or Purchaser Warrants).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shares of common stock being registered hereunder is comprised of (i) the 6,269,628 Closing Shares issued to the Selling Stockholders on July 7, 2026, pursuant to the Share Sale Agreement (including shares of common stock issuable upon exercise of Purchaser Warrants issued to one of the Selling Stockholders in lieu of Closing Shares and 225,000 shares of common stock issued to Robocath’s financial advisor) and (ii) 13,179,975 additional Earnout Shares which may be issued to the Selling Stockholders and Robocath’s financial advisor (or Purchaser Warrants, subject to the continuing election of the eligible Robocath securityholder), which is approximately the additional number of Earnout Shares that we are able to issue under the NYSE American Share Cap. However, the exact number of shares we may issue under the Share Sale Agreement as earnout consideration will depend on: (i) whether and to what extent the Regulatory and/or the Commercial Milestones are achieved; (ii) whether we elect to pay all or a portion of such consideration in cash or using Earnout Shares (or Purchaser Warrants); and (iii) the actual average closing price of our common stock calculated pursuant to a formula near the time such milestones are achieved.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terms of the Share Sale Agreement, we agreed to file a registration statement under the Securities Act covering the Closing Shares and Earnout Shares and to maintain the effectiveness of the registration statement until the earlier of the 6</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anniversary of the first effective date of the registration statement and the date on which all Earnout Shares issued or issuable as earnout consideration pursuant to the Share Sale Agreement have either been sold or may be sold pursuant to Rule 144 without any restrictions (including as to volume or manner of sale). In addition, we have elected to include Robocath’s financial advisor as one of the Selling Stockholders named below.</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registering the Shares in order to permit the Selling Stockholders to offer the shares issued in connection with the Robocath acquisition for resale from time to time pursuant to this prospectus, subject to the limitations described below under “—</w:t>
      </w:r>
      <w:r>
        <w:rPr>
          <w:rFonts w:ascii="Times New Roman;Times;Serif" w:hAnsi="Times New Roman;Times;Serif"/>
          <w:b w:val="false"/>
          <w:i/>
          <w:caps w:val="false"/>
          <w:smallCaps w:val="false"/>
          <w:sz w:val="20"/>
        </w:rPr>
        <w:t>Resale Organization Agreement</w:t>
      </w:r>
      <w:r>
        <w:rPr>
          <w:rFonts w:ascii="Times New Roman;Times;Serif" w:hAnsi="Times New Roman;Times;Serif"/>
          <w:b w:val="false"/>
          <w:i w:val="false"/>
          <w:caps w:val="false"/>
          <w:smallCaps w:val="false"/>
          <w:sz w:val="20"/>
        </w:rPr>
        <w:t xml:space="preserve">.” Only the Closing Shares have been issued as of the date of this prospectus. The Earnout Shares have not been earned and are not currently outstanding. The actual number of Earnout Shares issued to the Selling Stockholders could be materially less than 13,179,975 shares of common stock depending on whether and to what extent the </w:t>
      </w:r>
      <w:r>
        <w:rPr>
          <w:rFonts w:ascii="Times New Roman;Times;Serif" w:hAnsi="Times New Roman;Times;Serif"/>
          <w:b w:val="false"/>
          <w:i w:val="false"/>
          <w:caps w:val="false"/>
          <w:smallCaps w:val="false"/>
          <w:sz w:val="20"/>
          <w:shd w:fill="FFFFFF" w:val="clear"/>
        </w:rPr>
        <w:t xml:space="preserve">Regulatory Milestone and/or </w:t>
      </w:r>
      <w:r>
        <w:rPr>
          <w:rFonts w:ascii="Times New Roman;Times;Serif" w:hAnsi="Times New Roman;Times;Serif"/>
          <w:b w:val="false"/>
          <w:i w:val="false"/>
          <w:caps w:val="false"/>
          <w:smallCaps w:val="false"/>
          <w:sz w:val="20"/>
        </w:rPr>
        <w:t>the Commercial Milestones are achieved, whether we elect to pay all or a portion of such consideration in cash or using Earnout Shares (or Purchaser Warrants), as well as the actual average closing price of our common stock calculated pursuant to a formula near the time such milestones are achieved.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w:t>
      </w:r>
    </w:p>
    <w:tbl>
      <w:tblPr>
        <w:tblW w:w="3393" w:type="dxa"/>
        <w:jc w:val="left"/>
        <w:tblInd w:w="0" w:type="dxa"/>
        <w:tblLayout w:type="fixed"/>
        <w:tblCellMar>
          <w:top w:w="0" w:type="dxa"/>
          <w:left w:w="0" w:type="dxa"/>
          <w:bottom w:w="0" w:type="dxa"/>
          <w:right w:w="0" w:type="dxa"/>
        </w:tblCellMar>
      </w:tblPr>
      <w:tblGrid>
        <w:gridCol w:w="38"/>
        <w:gridCol w:w="170"/>
        <w:gridCol w:w="318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31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name of each Selling Stockholder;</w:t>
            </w:r>
          </w:p>
        </w:tc>
      </w:tr>
    </w:tbl>
    <w:tbl>
      <w:tblPr>
        <w:tblW w:w="8388" w:type="dxa"/>
        <w:jc w:val="left"/>
        <w:tblInd w:w="0" w:type="dxa"/>
        <w:tblLayout w:type="fixed"/>
        <w:tblCellMar>
          <w:top w:w="0" w:type="dxa"/>
          <w:left w:w="0" w:type="dxa"/>
          <w:bottom w:w="0" w:type="dxa"/>
          <w:right w:w="0" w:type="dxa"/>
        </w:tblCellMar>
      </w:tblPr>
      <w:tblGrid>
        <w:gridCol w:w="38"/>
        <w:gridCol w:w="170"/>
        <w:gridCol w:w="81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81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shares of our common stock owned by each Selling Stockholder prior to this offering;</w:t>
            </w:r>
          </w:p>
        </w:tc>
      </w:tr>
    </w:tbl>
    <w:tbl>
      <w:tblPr>
        <w:tblW w:w="7473" w:type="dxa"/>
        <w:jc w:val="left"/>
        <w:tblInd w:w="0" w:type="dxa"/>
        <w:tblLayout w:type="fixed"/>
        <w:tblCellMar>
          <w:top w:w="0" w:type="dxa"/>
          <w:left w:w="0" w:type="dxa"/>
          <w:bottom w:w="0" w:type="dxa"/>
          <w:right w:w="0" w:type="dxa"/>
        </w:tblCellMar>
      </w:tblPr>
      <w:tblGrid>
        <w:gridCol w:w="38"/>
        <w:gridCol w:w="170"/>
        <w:gridCol w:w="72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72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shares of our common stock being offered pursuant to this prospectus; and</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shares of our common stock to be owned upon completion of this offering, assuming all such shares are sold.</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table is prepared based on information supplied to us by the Selling Stockholders and reflects holdings as of July 7, 2026, following the issuance of the Closing Shares. As used in this prospectus, the term “Selling Stockholders” includes the Selling Stockholders listed below, and any donees, pledgees, transferees or other successors-in-interest selling shares received in a sale or other transfer. The number of shares in the column “Shares Being Offered” represents all of the Shares that the Selling Stockholders may offer under this prospectus. The Selling Stockholders may sell some, all or none of their shares. We do not know how long the Selling Stockholders will hold the shares before selling them, and we currently have no agreements, arrangements or understandings with the Selling Stockholders regarding the sale of any of the Shares.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Beneficial ownership is determined in accordance with Rule 13d-3(d) promulgated by the SEC under the Exchange Act of 1934, as amended. The percentage of shares beneficially owned prior to the offering is based on 97,934,076 shares of our common stock actually outstanding as of June 30, 2026, but on a pro forma basis to include the Closing Shares of our common stock issued to the Selling Stockholders on July 7, 2026.</w:t>
      </w:r>
    </w:p>
    <w:p>
      <w:pPr>
        <w:pStyle w:val="TextBody"/>
        <w:bidi w:val="0"/>
        <w:spacing w:before="0" w:after="0"/>
        <w:ind w:left="0" w:right="0" w:firstLine="36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9</w:t>
            </w:r>
          </w:p>
        </w:tc>
      </w:tr>
    </w:tbl>
    <w:p>
      <w:pPr>
        <w:pStyle w:val="TextBody"/>
        <w:bidi w:val="0"/>
        <w:spacing w:before="0" w:after="0"/>
        <w:ind w:left="0" w:right="0" w:hanging="0"/>
        <w:jc w:val="left"/>
        <w:rPr/>
      </w:pPr>
      <w:r>
        <w:rPr/>
        <w:t>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Stockholders may also sell, transfer or otherwise dispose of all or a portion of their shares in transactions exempt from the registration requirements of the Securities Act, or pursuant to another effective registration statement covering those shares. Because the Selling Stockholders may dispose of all, none or some portion of their securities, no estimate can be given as to the number of securities that will be beneficially owned by the Selling Stockholders upon termination of this offering. See “</w:t>
      </w:r>
      <w:r>
        <w:rPr>
          <w:rFonts w:ascii="Times New Roman;Times;Serif" w:hAnsi="Times New Roman;Times;Serif"/>
          <w:b w:val="false"/>
          <w:i/>
          <w:caps w:val="false"/>
          <w:smallCaps w:val="false"/>
          <w:sz w:val="20"/>
        </w:rPr>
        <w:t>Plan of Distribution</w:t>
      </w:r>
      <w:r>
        <w:rPr>
          <w:rFonts w:ascii="Times New Roman;Times;Serif" w:hAnsi="Times New Roman;Times;Serif"/>
          <w:b w:val="false"/>
          <w:i w:val="false"/>
          <w:caps w:val="false"/>
          <w:smallCaps w:val="false"/>
          <w:sz w:val="20"/>
        </w:rPr>
        <w:t>.” For purposes of the table below, however, we have assumed that after termination of this offering none of the securities covered by this prospectus will be beneficially owned by the Selling Stockholders and further assumed that the Selling Stockholders will not acquire beneficial ownership of any additional securities during the offering.</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822"/>
        <w:gridCol w:w="60"/>
        <w:gridCol w:w="85"/>
        <w:gridCol w:w="1396"/>
        <w:gridCol w:w="60"/>
        <w:gridCol w:w="60"/>
        <w:gridCol w:w="158"/>
        <w:gridCol w:w="1168"/>
        <w:gridCol w:w="215"/>
        <w:gridCol w:w="60"/>
        <w:gridCol w:w="109"/>
        <w:gridCol w:w="1792"/>
        <w:gridCol w:w="60"/>
        <w:gridCol w:w="60"/>
        <w:gridCol w:w="153"/>
        <w:gridCol w:w="1434"/>
        <w:gridCol w:w="60"/>
        <w:gridCol w:w="60"/>
        <w:gridCol w:w="393"/>
        <w:gridCol w:w="919"/>
        <w:gridCol w:w="81"/>
      </w:tblGrid>
      <w:tr>
        <w:trPr/>
        <w:tc>
          <w:tcPr>
            <w:tcW w:w="1822" w:type="dxa"/>
            <w:tcBorders>
              <w:bottom w:val="single" w:sz="8" w:space="0" w:color="000000"/>
            </w:tcBorders>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Selling Stockholders</w:t>
            </w:r>
          </w:p>
        </w:tc>
        <w:tc>
          <w:tcPr>
            <w:tcW w:w="60" w:type="dxa"/>
            <w:tcBorders/>
            <w:tcMar>
              <w:bottom w:w="0" w:type="dxa"/>
            </w:tcMar>
            <w:vAlign w:val="center"/>
          </w:tcPr>
          <w:p>
            <w:pPr>
              <w:pStyle w:val="TableContents"/>
              <w:bidi w:val="0"/>
              <w:spacing w:before="0" w:after="283"/>
              <w:jc w:val="center"/>
              <w:rPr/>
            </w:pPr>
            <w:r>
              <w:rPr/>
              <w:t> </w:t>
            </w:r>
          </w:p>
        </w:tc>
        <w:tc>
          <w:tcPr>
            <w:tcW w:w="1481" w:type="dxa"/>
            <w:gridSpan w:val="2"/>
            <w:tcBorders>
              <w:bottom w:val="single" w:sz="8" w:space="0" w:color="000000"/>
            </w:tcBorders>
            <w:vAlign w:val="center"/>
          </w:tcPr>
          <w:p>
            <w:pPr>
              <w:pStyle w:val="TableContents"/>
              <w:bidi w:val="0"/>
              <w:spacing w:before="0" w:after="283"/>
              <w:jc w:val="center"/>
              <w:rPr>
                <w:b/>
                <w:sz w:val="24"/>
              </w:rPr>
            </w:pPr>
            <w:r>
              <w:rPr>
                <w:rFonts w:ascii="Times New Roman;Times;Serif" w:hAnsi="Times New Roman;Times;Serif"/>
                <w:b/>
                <w:sz w:val="16"/>
              </w:rPr>
              <w:t>Shares Beneficially Owned Prior to This Offering</w:t>
            </w:r>
            <w:r>
              <w:rPr>
                <w:rFonts w:ascii="Times New Roman;Times;Serif" w:hAnsi="Times New Roman;Times;Serif"/>
                <w:b/>
                <w:position w:val="7"/>
                <w:sz w:val="16"/>
                <w:sz w:val="20"/>
              </w:rPr>
              <w:t>(1)</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326"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Percentage of Common Stock Owned Before Offering</w:t>
            </w:r>
          </w:p>
        </w:tc>
        <w:tc>
          <w:tcPr>
            <w:tcW w:w="21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901" w:type="dxa"/>
            <w:gridSpan w:val="2"/>
            <w:tcBorders>
              <w:bottom w:val="single" w:sz="8" w:space="0" w:color="000000"/>
            </w:tcBorders>
            <w:vAlign w:val="center"/>
          </w:tcPr>
          <w:p>
            <w:pPr>
              <w:pStyle w:val="TableContents"/>
              <w:bidi w:val="0"/>
              <w:spacing w:before="0" w:after="283"/>
              <w:jc w:val="center"/>
              <w:rPr>
                <w:b/>
                <w:sz w:val="24"/>
              </w:rPr>
            </w:pPr>
            <w:r>
              <w:rPr>
                <w:rFonts w:ascii="Times New Roman;Times;Serif" w:hAnsi="Times New Roman;Times;Serif"/>
                <w:b/>
                <w:sz w:val="16"/>
              </w:rPr>
              <w:t>Maximum Number of shares of Common Stock to be Sold Pursuant to this Prospectus</w:t>
            </w:r>
            <w:r>
              <w:rPr>
                <w:rFonts w:ascii="Times New Roman;Times;Serif" w:hAnsi="Times New Roman;Times;Serif"/>
                <w:b/>
                <w:position w:val="7"/>
                <w:sz w:val="16"/>
                <w:sz w:val="20"/>
              </w:rPr>
              <w:t>(2)</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587" w:type="dxa"/>
            <w:gridSpan w:val="2"/>
            <w:tcBorders>
              <w:bottom w:val="single" w:sz="8" w:space="0" w:color="000000"/>
            </w:tcBorders>
            <w:vAlign w:val="center"/>
          </w:tcPr>
          <w:p>
            <w:pPr>
              <w:pStyle w:val="TableContents"/>
              <w:bidi w:val="0"/>
              <w:spacing w:before="0" w:after="283"/>
              <w:jc w:val="center"/>
              <w:rPr>
                <w:b/>
                <w:sz w:val="24"/>
              </w:rPr>
            </w:pPr>
            <w:r>
              <w:rPr>
                <w:rFonts w:ascii="Times New Roman;Times;Serif" w:hAnsi="Times New Roman;Times;Serif"/>
                <w:b/>
                <w:sz w:val="16"/>
              </w:rPr>
              <w:t>Number of shares of Common Stock Beneficially Owned After Offering</w:t>
            </w:r>
            <w:r>
              <w:rPr>
                <w:rFonts w:ascii="Times New Roman;Times;Serif" w:hAnsi="Times New Roman;Times;Serif"/>
                <w:b/>
                <w:position w:val="7"/>
                <w:sz w:val="16"/>
                <w:sz w:val="20"/>
              </w:rPr>
              <w:t>(3)</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312"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Percentage of Common Stock Owned After Offering</w:t>
            </w:r>
          </w:p>
        </w:tc>
        <w:tc>
          <w:tcPr>
            <w:tcW w:w="81" w:type="dxa"/>
            <w:tcBorders/>
            <w:tcMar>
              <w:bottom w:w="0" w:type="dxa"/>
            </w:tcMar>
            <w:vAlign w:val="center"/>
          </w:tcPr>
          <w:p>
            <w:pPr>
              <w:pStyle w:val="TableContents"/>
              <w:bidi w:val="0"/>
              <w:spacing w:before="0" w:after="283"/>
              <w:jc w:val="center"/>
              <w:rPr/>
            </w:pPr>
            <w:r>
              <w:rPr/>
              <w:t> </w:t>
            </w:r>
          </w:p>
        </w:tc>
      </w:tr>
      <w:tr>
        <w:trPr/>
        <w:tc>
          <w:tcPr>
            <w:tcW w:w="1822"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A.M. Developpement</w:t>
            </w:r>
            <w:r>
              <w:rPr>
                <w:rFonts w:ascii="Times New Roman;Times;Serif" w:hAnsi="Times New Roman;Times;Serif"/>
                <w:position w:val="7"/>
                <w:sz w:val="16"/>
                <w:sz w:val="20"/>
              </w:rPr>
              <w:t>(4)</w:t>
            </w:r>
          </w:p>
        </w:tc>
        <w:tc>
          <w:tcPr>
            <w:tcW w:w="60" w:type="dxa"/>
            <w:tcBorders/>
            <w:shd w:fill="CCEEFF" w:val="clear"/>
            <w:tcMar>
              <w:bottom w:w="0" w:type="dxa"/>
            </w:tcMar>
            <w:vAlign w:val="center"/>
          </w:tcPr>
          <w:p>
            <w:pPr>
              <w:pStyle w:val="TableContents"/>
              <w:bidi w:val="0"/>
              <w:spacing w:before="0" w:after="283"/>
              <w:jc w:val="left"/>
              <w:rPr/>
            </w:pPr>
            <w:r>
              <w:rPr/>
              <w:t> </w:t>
            </w:r>
          </w:p>
        </w:tc>
        <w:tc>
          <w:tcPr>
            <w:tcW w:w="85" w:type="dxa"/>
            <w:tcBorders/>
            <w:shd w:fill="CCEEFF" w:val="clear"/>
            <w:tcMar>
              <w:bottom w:w="0" w:type="dxa"/>
            </w:tcMar>
            <w:vAlign w:val="center"/>
          </w:tcPr>
          <w:p>
            <w:pPr>
              <w:pStyle w:val="TableContents"/>
              <w:bidi w:val="0"/>
              <w:spacing w:before="0" w:after="283"/>
              <w:jc w:val="left"/>
              <w:rPr/>
            </w:pPr>
            <w:r>
              <w:rPr/>
              <w:t> </w:t>
            </w:r>
          </w:p>
        </w:tc>
        <w:tc>
          <w:tcPr>
            <w:tcW w:w="1396"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8" w:type="dxa"/>
            <w:tcBorders/>
            <w:shd w:fill="CCEEFF" w:val="clear"/>
            <w:tcMar>
              <w:bottom w:w="0" w:type="dxa"/>
            </w:tcMar>
            <w:vAlign w:val="center"/>
          </w:tcPr>
          <w:p>
            <w:pPr>
              <w:pStyle w:val="TableContents"/>
              <w:bidi w:val="0"/>
              <w:spacing w:before="0" w:after="283"/>
              <w:jc w:val="left"/>
              <w:rPr/>
            </w:pPr>
            <w:r>
              <w:rPr/>
              <w:t> </w:t>
            </w:r>
          </w:p>
        </w:tc>
        <w:tc>
          <w:tcPr>
            <w:tcW w:w="1168"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9" w:type="dxa"/>
            <w:tcBorders/>
            <w:shd w:fill="CCEEFF" w:val="clear"/>
            <w:tcMar>
              <w:bottom w:w="0" w:type="dxa"/>
            </w:tcMar>
            <w:vAlign w:val="center"/>
          </w:tcPr>
          <w:p>
            <w:pPr>
              <w:pStyle w:val="TableContents"/>
              <w:bidi w:val="0"/>
              <w:spacing w:before="0" w:after="283"/>
              <w:jc w:val="left"/>
              <w:rPr/>
            </w:pPr>
            <w:r>
              <w:rPr/>
              <w:t> </w:t>
            </w:r>
          </w:p>
        </w:tc>
        <w:tc>
          <w:tcPr>
            <w:tcW w:w="1792"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1,979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3" w:type="dxa"/>
            <w:tcBorders/>
            <w:shd w:fill="CCEEFF" w:val="clear"/>
            <w:tcMar>
              <w:bottom w:w="0" w:type="dxa"/>
            </w:tcMar>
            <w:vAlign w:val="center"/>
          </w:tcPr>
          <w:p>
            <w:pPr>
              <w:pStyle w:val="TableContents"/>
              <w:bidi w:val="0"/>
              <w:spacing w:before="0" w:after="283"/>
              <w:jc w:val="left"/>
              <w:rPr/>
            </w:pPr>
            <w:r>
              <w:rPr/>
              <w:t> </w:t>
            </w:r>
          </w:p>
        </w:tc>
        <w:tc>
          <w:tcPr>
            <w:tcW w:w="1434"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93" w:type="dxa"/>
            <w:tcBorders/>
            <w:shd w:fill="CCEEFF" w:val="clear"/>
            <w:tcMar>
              <w:bottom w:w="0" w:type="dxa"/>
            </w:tcMar>
            <w:vAlign w:val="center"/>
          </w:tcPr>
          <w:p>
            <w:pPr>
              <w:pStyle w:val="TableContents"/>
              <w:bidi w:val="0"/>
              <w:spacing w:before="0" w:after="283"/>
              <w:jc w:val="left"/>
              <w:rPr/>
            </w:pPr>
            <w:r>
              <w:rPr/>
              <w:t> </w:t>
            </w:r>
          </w:p>
        </w:tc>
        <w:tc>
          <w:tcPr>
            <w:tcW w:w="919"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81" w:type="dxa"/>
            <w:tcBorders/>
            <w:shd w:fill="CCEEFF" w:val="clear"/>
            <w:tcMar>
              <w:bottom w:w="0" w:type="dxa"/>
            </w:tcMar>
            <w:vAlign w:val="center"/>
          </w:tcPr>
          <w:p>
            <w:pPr>
              <w:pStyle w:val="TableContents"/>
              <w:bidi w:val="0"/>
              <w:spacing w:before="0" w:after="283"/>
              <w:jc w:val="left"/>
              <w:rPr/>
            </w:pPr>
            <w:r>
              <w:rPr/>
              <w:t> </w:t>
            </w:r>
          </w:p>
        </w:tc>
      </w:tr>
      <w:tr>
        <w:trPr/>
        <w:tc>
          <w:tcPr>
            <w:tcW w:w="1822"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Agile Capital Development SAS</w:t>
            </w:r>
            <w:r>
              <w:rPr>
                <w:rFonts w:ascii="Times New Roman;Times;Serif" w:hAnsi="Times New Roman;Times;Serif"/>
                <w:position w:val="7"/>
                <w:sz w:val="16"/>
                <w:sz w:val="20"/>
              </w:rPr>
              <w:t>(5)</w:t>
            </w:r>
          </w:p>
        </w:tc>
        <w:tc>
          <w:tcPr>
            <w:tcW w:w="60" w:type="dxa"/>
            <w:tcBorders/>
            <w:shd w:fill="FFFFFF" w:val="clear"/>
            <w:tcMar>
              <w:bottom w:w="0" w:type="dxa"/>
            </w:tcMar>
            <w:vAlign w:val="center"/>
          </w:tcPr>
          <w:p>
            <w:pPr>
              <w:pStyle w:val="TableContents"/>
              <w:bidi w:val="0"/>
              <w:spacing w:before="0" w:after="283"/>
              <w:jc w:val="left"/>
              <w:rPr/>
            </w:pPr>
            <w:r>
              <w:rPr/>
              <w:t> </w:t>
            </w:r>
          </w:p>
        </w:tc>
        <w:tc>
          <w:tcPr>
            <w:tcW w:w="85" w:type="dxa"/>
            <w:tcBorders/>
            <w:shd w:fill="FFFFFF" w:val="clear"/>
            <w:tcMar>
              <w:bottom w:w="0" w:type="dxa"/>
            </w:tcMar>
            <w:vAlign w:val="center"/>
          </w:tcPr>
          <w:p>
            <w:pPr>
              <w:pStyle w:val="TableContents"/>
              <w:bidi w:val="0"/>
              <w:spacing w:before="0" w:after="283"/>
              <w:jc w:val="left"/>
              <w:rPr/>
            </w:pPr>
            <w:r>
              <w:rPr/>
              <w:t> </w:t>
            </w:r>
          </w:p>
        </w:tc>
        <w:tc>
          <w:tcPr>
            <w:tcW w:w="1396"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225,000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8" w:type="dxa"/>
            <w:tcBorders/>
            <w:shd w:fill="FFFFFF" w:val="clear"/>
            <w:tcMar>
              <w:bottom w:w="0" w:type="dxa"/>
            </w:tcMar>
            <w:vAlign w:val="center"/>
          </w:tcPr>
          <w:p>
            <w:pPr>
              <w:pStyle w:val="TableContents"/>
              <w:bidi w:val="0"/>
              <w:spacing w:before="0" w:after="283"/>
              <w:jc w:val="left"/>
              <w:rPr/>
            </w:pPr>
            <w:r>
              <w:rPr/>
              <w:t> </w:t>
            </w:r>
          </w:p>
        </w:tc>
        <w:tc>
          <w:tcPr>
            <w:tcW w:w="1168"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9" w:type="dxa"/>
            <w:tcBorders/>
            <w:shd w:fill="FFFFFF" w:val="clear"/>
            <w:tcMar>
              <w:bottom w:w="0" w:type="dxa"/>
            </w:tcMar>
            <w:vAlign w:val="center"/>
          </w:tcPr>
          <w:p>
            <w:pPr>
              <w:pStyle w:val="TableContents"/>
              <w:bidi w:val="0"/>
              <w:spacing w:before="0" w:after="283"/>
              <w:jc w:val="left"/>
              <w:rPr/>
            </w:pPr>
            <w:r>
              <w:rPr/>
              <w:t> </w:t>
            </w:r>
          </w:p>
        </w:tc>
        <w:tc>
          <w:tcPr>
            <w:tcW w:w="1792"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620,399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3" w:type="dxa"/>
            <w:tcBorders/>
            <w:shd w:fill="FFFFFF" w:val="clear"/>
            <w:tcMar>
              <w:bottom w:w="0" w:type="dxa"/>
            </w:tcMar>
            <w:vAlign w:val="center"/>
          </w:tcPr>
          <w:p>
            <w:pPr>
              <w:pStyle w:val="TableContents"/>
              <w:bidi w:val="0"/>
              <w:spacing w:before="0" w:after="283"/>
              <w:jc w:val="left"/>
              <w:rPr/>
            </w:pPr>
            <w:r>
              <w:rPr/>
              <w:t> </w:t>
            </w:r>
          </w:p>
        </w:tc>
        <w:tc>
          <w:tcPr>
            <w:tcW w:w="1434"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93" w:type="dxa"/>
            <w:tcBorders/>
            <w:shd w:fill="FFFFFF" w:val="clear"/>
            <w:tcMar>
              <w:bottom w:w="0" w:type="dxa"/>
            </w:tcMar>
            <w:vAlign w:val="center"/>
          </w:tcPr>
          <w:p>
            <w:pPr>
              <w:pStyle w:val="TableContents"/>
              <w:bidi w:val="0"/>
              <w:spacing w:before="0" w:after="283"/>
              <w:jc w:val="left"/>
              <w:rPr/>
            </w:pPr>
            <w:r>
              <w:rPr/>
              <w:t> </w:t>
            </w:r>
          </w:p>
        </w:tc>
        <w:tc>
          <w:tcPr>
            <w:tcW w:w="919"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1" w:type="dxa"/>
            <w:tcBorders/>
            <w:shd w:fill="FFFFFF" w:val="clear"/>
            <w:tcMar>
              <w:bottom w:w="0" w:type="dxa"/>
            </w:tcMar>
            <w:vAlign w:val="center"/>
          </w:tcPr>
          <w:p>
            <w:pPr>
              <w:pStyle w:val="TableContents"/>
              <w:bidi w:val="0"/>
              <w:spacing w:before="0" w:after="283"/>
              <w:jc w:val="left"/>
              <w:rPr/>
            </w:pPr>
            <w:r>
              <w:rPr/>
              <w:t> </w:t>
            </w:r>
          </w:p>
        </w:tc>
      </w:tr>
      <w:tr>
        <w:trPr/>
        <w:tc>
          <w:tcPr>
            <w:tcW w:w="1822"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Bencteux, Philippe</w:t>
            </w:r>
          </w:p>
        </w:tc>
        <w:tc>
          <w:tcPr>
            <w:tcW w:w="60" w:type="dxa"/>
            <w:tcBorders/>
            <w:shd w:fill="CCEEFF" w:val="clear"/>
            <w:tcMar>
              <w:bottom w:w="0" w:type="dxa"/>
            </w:tcMar>
            <w:vAlign w:val="center"/>
          </w:tcPr>
          <w:p>
            <w:pPr>
              <w:pStyle w:val="TableContents"/>
              <w:bidi w:val="0"/>
              <w:spacing w:before="0" w:after="283"/>
              <w:jc w:val="left"/>
              <w:rPr/>
            </w:pPr>
            <w:r>
              <w:rPr/>
              <w:t> </w:t>
            </w:r>
          </w:p>
        </w:tc>
        <w:tc>
          <w:tcPr>
            <w:tcW w:w="85" w:type="dxa"/>
            <w:tcBorders/>
            <w:shd w:fill="CCEEFF" w:val="clear"/>
            <w:tcMar>
              <w:bottom w:w="0" w:type="dxa"/>
            </w:tcMar>
            <w:vAlign w:val="center"/>
          </w:tcPr>
          <w:p>
            <w:pPr>
              <w:pStyle w:val="TableContents"/>
              <w:bidi w:val="0"/>
              <w:spacing w:before="0" w:after="283"/>
              <w:jc w:val="left"/>
              <w:rPr/>
            </w:pPr>
            <w:r>
              <w:rPr/>
              <w:t> </w:t>
            </w:r>
          </w:p>
        </w:tc>
        <w:tc>
          <w:tcPr>
            <w:tcW w:w="1396"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211,059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8" w:type="dxa"/>
            <w:tcBorders/>
            <w:shd w:fill="CCEEFF" w:val="clear"/>
            <w:tcMar>
              <w:bottom w:w="0" w:type="dxa"/>
            </w:tcMar>
            <w:vAlign w:val="center"/>
          </w:tcPr>
          <w:p>
            <w:pPr>
              <w:pStyle w:val="TableContents"/>
              <w:bidi w:val="0"/>
              <w:spacing w:before="0" w:after="283"/>
              <w:jc w:val="left"/>
              <w:rPr/>
            </w:pPr>
            <w:r>
              <w:rPr/>
              <w:t> </w:t>
            </w:r>
          </w:p>
        </w:tc>
        <w:tc>
          <w:tcPr>
            <w:tcW w:w="1168"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9" w:type="dxa"/>
            <w:tcBorders/>
            <w:shd w:fill="CCEEFF" w:val="clear"/>
            <w:tcMar>
              <w:bottom w:w="0" w:type="dxa"/>
            </w:tcMar>
            <w:vAlign w:val="center"/>
          </w:tcPr>
          <w:p>
            <w:pPr>
              <w:pStyle w:val="TableContents"/>
              <w:bidi w:val="0"/>
              <w:spacing w:before="0" w:after="283"/>
              <w:jc w:val="left"/>
              <w:rPr/>
            </w:pPr>
            <w:r>
              <w:rPr/>
              <w:t> </w:t>
            </w:r>
          </w:p>
        </w:tc>
        <w:tc>
          <w:tcPr>
            <w:tcW w:w="1792"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1,375,221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3" w:type="dxa"/>
            <w:tcBorders/>
            <w:shd w:fill="CCEEFF" w:val="clear"/>
            <w:tcMar>
              <w:bottom w:w="0" w:type="dxa"/>
            </w:tcMar>
            <w:vAlign w:val="center"/>
          </w:tcPr>
          <w:p>
            <w:pPr>
              <w:pStyle w:val="TableContents"/>
              <w:bidi w:val="0"/>
              <w:spacing w:before="0" w:after="283"/>
              <w:jc w:val="left"/>
              <w:rPr/>
            </w:pPr>
            <w:r>
              <w:rPr/>
              <w:t> </w:t>
            </w:r>
          </w:p>
        </w:tc>
        <w:tc>
          <w:tcPr>
            <w:tcW w:w="1434"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93" w:type="dxa"/>
            <w:tcBorders/>
            <w:shd w:fill="CCEEFF" w:val="clear"/>
            <w:tcMar>
              <w:bottom w:w="0" w:type="dxa"/>
            </w:tcMar>
            <w:vAlign w:val="center"/>
          </w:tcPr>
          <w:p>
            <w:pPr>
              <w:pStyle w:val="TableContents"/>
              <w:bidi w:val="0"/>
              <w:spacing w:before="0" w:after="283"/>
              <w:jc w:val="left"/>
              <w:rPr/>
            </w:pPr>
            <w:r>
              <w:rPr/>
              <w:t> </w:t>
            </w:r>
          </w:p>
        </w:tc>
        <w:tc>
          <w:tcPr>
            <w:tcW w:w="919"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1" w:type="dxa"/>
            <w:tcBorders/>
            <w:shd w:fill="CCEEFF" w:val="clear"/>
            <w:tcMar>
              <w:bottom w:w="0" w:type="dxa"/>
            </w:tcMar>
            <w:vAlign w:val="center"/>
          </w:tcPr>
          <w:p>
            <w:pPr>
              <w:pStyle w:val="TableContents"/>
              <w:bidi w:val="0"/>
              <w:spacing w:before="0" w:after="283"/>
              <w:jc w:val="left"/>
              <w:rPr/>
            </w:pPr>
            <w:r>
              <w:rPr/>
              <w:t> </w:t>
            </w:r>
          </w:p>
        </w:tc>
      </w:tr>
      <w:tr>
        <w:trPr/>
        <w:tc>
          <w:tcPr>
            <w:tcW w:w="1822"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Buquet, Nicolas</w:t>
            </w:r>
          </w:p>
        </w:tc>
        <w:tc>
          <w:tcPr>
            <w:tcW w:w="60" w:type="dxa"/>
            <w:tcBorders/>
            <w:shd w:fill="FFFFFF" w:val="clear"/>
            <w:tcMar>
              <w:bottom w:w="0" w:type="dxa"/>
            </w:tcMar>
            <w:vAlign w:val="center"/>
          </w:tcPr>
          <w:p>
            <w:pPr>
              <w:pStyle w:val="TableContents"/>
              <w:bidi w:val="0"/>
              <w:spacing w:before="0" w:after="283"/>
              <w:jc w:val="left"/>
              <w:rPr/>
            </w:pPr>
            <w:r>
              <w:rPr/>
              <w:t> </w:t>
            </w:r>
          </w:p>
        </w:tc>
        <w:tc>
          <w:tcPr>
            <w:tcW w:w="85" w:type="dxa"/>
            <w:tcBorders/>
            <w:shd w:fill="FFFFFF" w:val="clear"/>
            <w:tcMar>
              <w:bottom w:w="0" w:type="dxa"/>
            </w:tcMar>
            <w:vAlign w:val="center"/>
          </w:tcPr>
          <w:p>
            <w:pPr>
              <w:pStyle w:val="TableContents"/>
              <w:bidi w:val="0"/>
              <w:spacing w:before="0" w:after="283"/>
              <w:jc w:val="left"/>
              <w:rPr/>
            </w:pPr>
            <w:r>
              <w:rPr/>
              <w:t> </w:t>
            </w:r>
          </w:p>
        </w:tc>
        <w:tc>
          <w:tcPr>
            <w:tcW w:w="1396"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590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8" w:type="dxa"/>
            <w:tcBorders/>
            <w:shd w:fill="FFFFFF" w:val="clear"/>
            <w:tcMar>
              <w:bottom w:w="0" w:type="dxa"/>
            </w:tcMar>
            <w:vAlign w:val="center"/>
          </w:tcPr>
          <w:p>
            <w:pPr>
              <w:pStyle w:val="TableContents"/>
              <w:bidi w:val="0"/>
              <w:spacing w:before="0" w:after="283"/>
              <w:jc w:val="left"/>
              <w:rPr/>
            </w:pPr>
            <w:r>
              <w:rPr/>
              <w:t> </w:t>
            </w:r>
          </w:p>
        </w:tc>
        <w:tc>
          <w:tcPr>
            <w:tcW w:w="1168"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9" w:type="dxa"/>
            <w:tcBorders/>
            <w:shd w:fill="FFFFFF" w:val="clear"/>
            <w:tcMar>
              <w:bottom w:w="0" w:type="dxa"/>
            </w:tcMar>
            <w:vAlign w:val="center"/>
          </w:tcPr>
          <w:p>
            <w:pPr>
              <w:pStyle w:val="TableContents"/>
              <w:bidi w:val="0"/>
              <w:spacing w:before="0" w:after="283"/>
              <w:jc w:val="left"/>
              <w:rPr/>
            </w:pPr>
            <w:r>
              <w:rPr/>
              <w:t> </w:t>
            </w:r>
          </w:p>
        </w:tc>
        <w:tc>
          <w:tcPr>
            <w:tcW w:w="1792"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3,813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3" w:type="dxa"/>
            <w:tcBorders/>
            <w:shd w:fill="FFFFFF" w:val="clear"/>
            <w:tcMar>
              <w:bottom w:w="0" w:type="dxa"/>
            </w:tcMar>
            <w:vAlign w:val="center"/>
          </w:tcPr>
          <w:p>
            <w:pPr>
              <w:pStyle w:val="TableContents"/>
              <w:bidi w:val="0"/>
              <w:spacing w:before="0" w:after="283"/>
              <w:jc w:val="left"/>
              <w:rPr/>
            </w:pPr>
            <w:r>
              <w:rPr/>
              <w:t> </w:t>
            </w:r>
          </w:p>
        </w:tc>
        <w:tc>
          <w:tcPr>
            <w:tcW w:w="1434"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93" w:type="dxa"/>
            <w:tcBorders/>
            <w:shd w:fill="FFFFFF" w:val="clear"/>
            <w:tcMar>
              <w:bottom w:w="0" w:type="dxa"/>
            </w:tcMar>
            <w:vAlign w:val="center"/>
          </w:tcPr>
          <w:p>
            <w:pPr>
              <w:pStyle w:val="TableContents"/>
              <w:bidi w:val="0"/>
              <w:spacing w:before="0" w:after="283"/>
              <w:jc w:val="left"/>
              <w:rPr/>
            </w:pPr>
            <w:r>
              <w:rPr/>
              <w:t> </w:t>
            </w:r>
          </w:p>
        </w:tc>
        <w:tc>
          <w:tcPr>
            <w:tcW w:w="919"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1" w:type="dxa"/>
            <w:tcBorders/>
            <w:shd w:fill="FFFFFF" w:val="clear"/>
            <w:tcMar>
              <w:bottom w:w="0" w:type="dxa"/>
            </w:tcMar>
            <w:vAlign w:val="center"/>
          </w:tcPr>
          <w:p>
            <w:pPr>
              <w:pStyle w:val="TableContents"/>
              <w:bidi w:val="0"/>
              <w:spacing w:before="0" w:after="283"/>
              <w:jc w:val="left"/>
              <w:rPr/>
            </w:pPr>
            <w:r>
              <w:rPr/>
              <w:t> </w:t>
            </w:r>
          </w:p>
        </w:tc>
      </w:tr>
      <w:tr>
        <w:trPr/>
        <w:tc>
          <w:tcPr>
            <w:tcW w:w="1822"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CADEIS</w:t>
            </w:r>
            <w:r>
              <w:rPr>
                <w:rFonts w:ascii="Times New Roman;Times;Serif" w:hAnsi="Times New Roman;Times;Serif"/>
                <w:position w:val="7"/>
                <w:sz w:val="16"/>
                <w:sz w:val="20"/>
              </w:rPr>
              <w:t>(6)</w:t>
            </w:r>
          </w:p>
        </w:tc>
        <w:tc>
          <w:tcPr>
            <w:tcW w:w="60" w:type="dxa"/>
            <w:tcBorders/>
            <w:shd w:fill="CCEEFF" w:val="clear"/>
            <w:tcMar>
              <w:bottom w:w="0" w:type="dxa"/>
            </w:tcMar>
            <w:vAlign w:val="center"/>
          </w:tcPr>
          <w:p>
            <w:pPr>
              <w:pStyle w:val="TableContents"/>
              <w:bidi w:val="0"/>
              <w:spacing w:before="0" w:after="283"/>
              <w:jc w:val="left"/>
              <w:rPr/>
            </w:pPr>
            <w:r>
              <w:rPr/>
              <w:t> </w:t>
            </w:r>
          </w:p>
        </w:tc>
        <w:tc>
          <w:tcPr>
            <w:tcW w:w="85" w:type="dxa"/>
            <w:tcBorders/>
            <w:shd w:fill="CCEEFF" w:val="clear"/>
            <w:tcMar>
              <w:bottom w:w="0" w:type="dxa"/>
            </w:tcMar>
            <w:vAlign w:val="center"/>
          </w:tcPr>
          <w:p>
            <w:pPr>
              <w:pStyle w:val="TableContents"/>
              <w:bidi w:val="0"/>
              <w:spacing w:before="0" w:after="283"/>
              <w:jc w:val="left"/>
              <w:rPr/>
            </w:pPr>
            <w:r>
              <w:rPr/>
              <w:t> </w:t>
            </w:r>
          </w:p>
        </w:tc>
        <w:tc>
          <w:tcPr>
            <w:tcW w:w="1396"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8" w:type="dxa"/>
            <w:tcBorders/>
            <w:shd w:fill="CCEEFF" w:val="clear"/>
            <w:tcMar>
              <w:bottom w:w="0" w:type="dxa"/>
            </w:tcMar>
            <w:vAlign w:val="center"/>
          </w:tcPr>
          <w:p>
            <w:pPr>
              <w:pStyle w:val="TableContents"/>
              <w:bidi w:val="0"/>
              <w:spacing w:before="0" w:after="283"/>
              <w:jc w:val="left"/>
              <w:rPr/>
            </w:pPr>
            <w:r>
              <w:rPr/>
              <w:t> </w:t>
            </w:r>
          </w:p>
        </w:tc>
        <w:tc>
          <w:tcPr>
            <w:tcW w:w="1168"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9" w:type="dxa"/>
            <w:tcBorders/>
            <w:shd w:fill="CCEEFF" w:val="clear"/>
            <w:tcMar>
              <w:bottom w:w="0" w:type="dxa"/>
            </w:tcMar>
            <w:vAlign w:val="center"/>
          </w:tcPr>
          <w:p>
            <w:pPr>
              <w:pStyle w:val="TableContents"/>
              <w:bidi w:val="0"/>
              <w:spacing w:before="0" w:after="283"/>
              <w:jc w:val="left"/>
              <w:rPr/>
            </w:pPr>
            <w:r>
              <w:rPr/>
              <w:t> </w:t>
            </w:r>
          </w:p>
        </w:tc>
        <w:tc>
          <w:tcPr>
            <w:tcW w:w="1792"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887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3" w:type="dxa"/>
            <w:tcBorders/>
            <w:shd w:fill="CCEEFF" w:val="clear"/>
            <w:tcMar>
              <w:bottom w:w="0" w:type="dxa"/>
            </w:tcMar>
            <w:vAlign w:val="center"/>
          </w:tcPr>
          <w:p>
            <w:pPr>
              <w:pStyle w:val="TableContents"/>
              <w:bidi w:val="0"/>
              <w:spacing w:before="0" w:after="283"/>
              <w:jc w:val="left"/>
              <w:rPr/>
            </w:pPr>
            <w:r>
              <w:rPr/>
              <w:t> </w:t>
            </w:r>
          </w:p>
        </w:tc>
        <w:tc>
          <w:tcPr>
            <w:tcW w:w="1434"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93" w:type="dxa"/>
            <w:tcBorders/>
            <w:shd w:fill="CCEEFF" w:val="clear"/>
            <w:tcMar>
              <w:bottom w:w="0" w:type="dxa"/>
            </w:tcMar>
            <w:vAlign w:val="center"/>
          </w:tcPr>
          <w:p>
            <w:pPr>
              <w:pStyle w:val="TableContents"/>
              <w:bidi w:val="0"/>
              <w:spacing w:before="0" w:after="283"/>
              <w:jc w:val="left"/>
              <w:rPr/>
            </w:pPr>
            <w:r>
              <w:rPr/>
              <w:t> </w:t>
            </w:r>
          </w:p>
        </w:tc>
        <w:tc>
          <w:tcPr>
            <w:tcW w:w="919"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1" w:type="dxa"/>
            <w:tcBorders/>
            <w:shd w:fill="CCEEFF" w:val="clear"/>
            <w:tcMar>
              <w:bottom w:w="0" w:type="dxa"/>
            </w:tcMar>
            <w:vAlign w:val="center"/>
          </w:tcPr>
          <w:p>
            <w:pPr>
              <w:pStyle w:val="TableContents"/>
              <w:bidi w:val="0"/>
              <w:spacing w:before="0" w:after="283"/>
              <w:jc w:val="left"/>
              <w:rPr/>
            </w:pPr>
            <w:r>
              <w:rPr/>
              <w:t> </w:t>
            </w:r>
          </w:p>
        </w:tc>
      </w:tr>
      <w:tr>
        <w:trPr/>
        <w:tc>
          <w:tcPr>
            <w:tcW w:w="1822"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Cardio Participations</w:t>
            </w:r>
            <w:r>
              <w:rPr>
                <w:rFonts w:ascii="Times New Roman;Times;Serif" w:hAnsi="Times New Roman;Times;Serif"/>
                <w:position w:val="7"/>
                <w:sz w:val="16"/>
                <w:sz w:val="20"/>
              </w:rPr>
              <w:t>(7)</w:t>
            </w:r>
          </w:p>
        </w:tc>
        <w:tc>
          <w:tcPr>
            <w:tcW w:w="60" w:type="dxa"/>
            <w:tcBorders/>
            <w:shd w:fill="FFFFFF" w:val="clear"/>
            <w:tcMar>
              <w:bottom w:w="0" w:type="dxa"/>
            </w:tcMar>
            <w:vAlign w:val="center"/>
          </w:tcPr>
          <w:p>
            <w:pPr>
              <w:pStyle w:val="TableContents"/>
              <w:bidi w:val="0"/>
              <w:spacing w:before="0" w:after="283"/>
              <w:jc w:val="left"/>
              <w:rPr/>
            </w:pPr>
            <w:r>
              <w:rPr/>
              <w:t> </w:t>
            </w:r>
          </w:p>
        </w:tc>
        <w:tc>
          <w:tcPr>
            <w:tcW w:w="85" w:type="dxa"/>
            <w:tcBorders/>
            <w:shd w:fill="FFFFFF" w:val="clear"/>
            <w:tcMar>
              <w:bottom w:w="0" w:type="dxa"/>
            </w:tcMar>
            <w:vAlign w:val="center"/>
          </w:tcPr>
          <w:p>
            <w:pPr>
              <w:pStyle w:val="TableContents"/>
              <w:bidi w:val="0"/>
              <w:spacing w:before="0" w:after="283"/>
              <w:jc w:val="left"/>
              <w:rPr/>
            </w:pPr>
            <w:r>
              <w:rPr/>
              <w:t> </w:t>
            </w:r>
          </w:p>
        </w:tc>
        <w:tc>
          <w:tcPr>
            <w:tcW w:w="1396"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2,999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8" w:type="dxa"/>
            <w:tcBorders/>
            <w:shd w:fill="FFFFFF" w:val="clear"/>
            <w:tcMar>
              <w:bottom w:w="0" w:type="dxa"/>
            </w:tcMar>
            <w:vAlign w:val="center"/>
          </w:tcPr>
          <w:p>
            <w:pPr>
              <w:pStyle w:val="TableContents"/>
              <w:bidi w:val="0"/>
              <w:spacing w:before="0" w:after="283"/>
              <w:jc w:val="left"/>
              <w:rPr/>
            </w:pPr>
            <w:r>
              <w:rPr/>
              <w:t> </w:t>
            </w:r>
          </w:p>
        </w:tc>
        <w:tc>
          <w:tcPr>
            <w:tcW w:w="1168"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9" w:type="dxa"/>
            <w:tcBorders/>
            <w:shd w:fill="FFFFFF" w:val="clear"/>
            <w:tcMar>
              <w:bottom w:w="0" w:type="dxa"/>
            </w:tcMar>
            <w:vAlign w:val="center"/>
          </w:tcPr>
          <w:p>
            <w:pPr>
              <w:pStyle w:val="TableContents"/>
              <w:bidi w:val="0"/>
              <w:spacing w:before="0" w:after="283"/>
              <w:jc w:val="left"/>
              <w:rPr/>
            </w:pPr>
            <w:r>
              <w:rPr/>
              <w:t> </w:t>
            </w:r>
          </w:p>
        </w:tc>
        <w:tc>
          <w:tcPr>
            <w:tcW w:w="1792"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19,378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3" w:type="dxa"/>
            <w:tcBorders/>
            <w:shd w:fill="FFFFFF" w:val="clear"/>
            <w:tcMar>
              <w:bottom w:w="0" w:type="dxa"/>
            </w:tcMar>
            <w:vAlign w:val="center"/>
          </w:tcPr>
          <w:p>
            <w:pPr>
              <w:pStyle w:val="TableContents"/>
              <w:bidi w:val="0"/>
              <w:spacing w:before="0" w:after="283"/>
              <w:jc w:val="left"/>
              <w:rPr/>
            </w:pPr>
            <w:r>
              <w:rPr/>
              <w:t> </w:t>
            </w:r>
          </w:p>
        </w:tc>
        <w:tc>
          <w:tcPr>
            <w:tcW w:w="1434"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93" w:type="dxa"/>
            <w:tcBorders/>
            <w:shd w:fill="FFFFFF" w:val="clear"/>
            <w:tcMar>
              <w:bottom w:w="0" w:type="dxa"/>
            </w:tcMar>
            <w:vAlign w:val="center"/>
          </w:tcPr>
          <w:p>
            <w:pPr>
              <w:pStyle w:val="TableContents"/>
              <w:bidi w:val="0"/>
              <w:spacing w:before="0" w:after="283"/>
              <w:jc w:val="left"/>
              <w:rPr/>
            </w:pPr>
            <w:r>
              <w:rPr/>
              <w:t> </w:t>
            </w:r>
          </w:p>
        </w:tc>
        <w:tc>
          <w:tcPr>
            <w:tcW w:w="919"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1" w:type="dxa"/>
            <w:tcBorders/>
            <w:shd w:fill="FFFFFF" w:val="clear"/>
            <w:tcMar>
              <w:bottom w:w="0" w:type="dxa"/>
            </w:tcMar>
            <w:vAlign w:val="center"/>
          </w:tcPr>
          <w:p>
            <w:pPr>
              <w:pStyle w:val="TableContents"/>
              <w:bidi w:val="0"/>
              <w:spacing w:before="0" w:after="283"/>
              <w:jc w:val="left"/>
              <w:rPr/>
            </w:pPr>
            <w:r>
              <w:rPr/>
              <w:t> </w:t>
            </w:r>
          </w:p>
        </w:tc>
      </w:tr>
      <w:tr>
        <w:trPr/>
        <w:tc>
          <w:tcPr>
            <w:tcW w:w="1822"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CEN INNOVATION</w:t>
            </w:r>
            <w:r>
              <w:rPr>
                <w:rFonts w:ascii="Times New Roman;Times;Serif" w:hAnsi="Times New Roman;Times;Serif"/>
                <w:position w:val="7"/>
                <w:sz w:val="16"/>
                <w:sz w:val="20"/>
              </w:rPr>
              <w:t>(8)</w:t>
            </w:r>
          </w:p>
        </w:tc>
        <w:tc>
          <w:tcPr>
            <w:tcW w:w="60" w:type="dxa"/>
            <w:tcBorders/>
            <w:shd w:fill="CCEEFF" w:val="clear"/>
            <w:tcMar>
              <w:bottom w:w="0" w:type="dxa"/>
            </w:tcMar>
            <w:vAlign w:val="center"/>
          </w:tcPr>
          <w:p>
            <w:pPr>
              <w:pStyle w:val="TableContents"/>
              <w:bidi w:val="0"/>
              <w:spacing w:before="0" w:after="283"/>
              <w:jc w:val="left"/>
              <w:rPr/>
            </w:pPr>
            <w:r>
              <w:rPr/>
              <w:t> </w:t>
            </w:r>
          </w:p>
        </w:tc>
        <w:tc>
          <w:tcPr>
            <w:tcW w:w="85" w:type="dxa"/>
            <w:tcBorders/>
            <w:shd w:fill="CCEEFF" w:val="clear"/>
            <w:tcMar>
              <w:bottom w:w="0" w:type="dxa"/>
            </w:tcMar>
            <w:vAlign w:val="center"/>
          </w:tcPr>
          <w:p>
            <w:pPr>
              <w:pStyle w:val="TableContents"/>
              <w:bidi w:val="0"/>
              <w:spacing w:before="0" w:after="283"/>
              <w:jc w:val="left"/>
              <w:rPr/>
            </w:pPr>
            <w:r>
              <w:rPr/>
              <w:t> </w:t>
            </w:r>
          </w:p>
        </w:tc>
        <w:tc>
          <w:tcPr>
            <w:tcW w:w="1396"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21,478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8" w:type="dxa"/>
            <w:tcBorders/>
            <w:shd w:fill="CCEEFF" w:val="clear"/>
            <w:tcMar>
              <w:bottom w:w="0" w:type="dxa"/>
            </w:tcMar>
            <w:vAlign w:val="center"/>
          </w:tcPr>
          <w:p>
            <w:pPr>
              <w:pStyle w:val="TableContents"/>
              <w:bidi w:val="0"/>
              <w:spacing w:before="0" w:after="283"/>
              <w:jc w:val="left"/>
              <w:rPr/>
            </w:pPr>
            <w:r>
              <w:rPr/>
              <w:t> </w:t>
            </w:r>
          </w:p>
        </w:tc>
        <w:tc>
          <w:tcPr>
            <w:tcW w:w="1168"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9" w:type="dxa"/>
            <w:tcBorders/>
            <w:shd w:fill="CCEEFF" w:val="clear"/>
            <w:tcMar>
              <w:bottom w:w="0" w:type="dxa"/>
            </w:tcMar>
            <w:vAlign w:val="center"/>
          </w:tcPr>
          <w:p>
            <w:pPr>
              <w:pStyle w:val="TableContents"/>
              <w:bidi w:val="0"/>
              <w:spacing w:before="0" w:after="283"/>
              <w:jc w:val="left"/>
              <w:rPr/>
            </w:pPr>
            <w:r>
              <w:rPr/>
              <w:t> </w:t>
            </w:r>
          </w:p>
        </w:tc>
        <w:tc>
          <w:tcPr>
            <w:tcW w:w="1792"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140,008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3" w:type="dxa"/>
            <w:tcBorders/>
            <w:shd w:fill="CCEEFF" w:val="clear"/>
            <w:tcMar>
              <w:bottom w:w="0" w:type="dxa"/>
            </w:tcMar>
            <w:vAlign w:val="center"/>
          </w:tcPr>
          <w:p>
            <w:pPr>
              <w:pStyle w:val="TableContents"/>
              <w:bidi w:val="0"/>
              <w:spacing w:before="0" w:after="283"/>
              <w:jc w:val="left"/>
              <w:rPr/>
            </w:pPr>
            <w:r>
              <w:rPr/>
              <w:t> </w:t>
            </w:r>
          </w:p>
        </w:tc>
        <w:tc>
          <w:tcPr>
            <w:tcW w:w="1434"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93" w:type="dxa"/>
            <w:tcBorders/>
            <w:shd w:fill="CCEEFF" w:val="clear"/>
            <w:tcMar>
              <w:bottom w:w="0" w:type="dxa"/>
            </w:tcMar>
            <w:vAlign w:val="center"/>
          </w:tcPr>
          <w:p>
            <w:pPr>
              <w:pStyle w:val="TableContents"/>
              <w:bidi w:val="0"/>
              <w:spacing w:before="0" w:after="283"/>
              <w:jc w:val="left"/>
              <w:rPr/>
            </w:pPr>
            <w:r>
              <w:rPr/>
              <w:t> </w:t>
            </w:r>
          </w:p>
        </w:tc>
        <w:tc>
          <w:tcPr>
            <w:tcW w:w="919"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1" w:type="dxa"/>
            <w:tcBorders/>
            <w:shd w:fill="CCEEFF" w:val="clear"/>
            <w:tcMar>
              <w:bottom w:w="0" w:type="dxa"/>
            </w:tcMar>
            <w:vAlign w:val="center"/>
          </w:tcPr>
          <w:p>
            <w:pPr>
              <w:pStyle w:val="TableContents"/>
              <w:bidi w:val="0"/>
              <w:spacing w:before="0" w:after="283"/>
              <w:jc w:val="left"/>
              <w:rPr/>
            </w:pPr>
            <w:r>
              <w:rPr/>
              <w:t> </w:t>
            </w:r>
          </w:p>
        </w:tc>
      </w:tr>
      <w:tr>
        <w:trPr/>
        <w:tc>
          <w:tcPr>
            <w:tcW w:w="1822"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Chapron, Frédéric</w:t>
            </w:r>
          </w:p>
        </w:tc>
        <w:tc>
          <w:tcPr>
            <w:tcW w:w="60" w:type="dxa"/>
            <w:tcBorders/>
            <w:shd w:fill="FFFFFF" w:val="clear"/>
            <w:tcMar>
              <w:bottom w:w="0" w:type="dxa"/>
            </w:tcMar>
            <w:vAlign w:val="center"/>
          </w:tcPr>
          <w:p>
            <w:pPr>
              <w:pStyle w:val="TableContents"/>
              <w:bidi w:val="0"/>
              <w:spacing w:before="0" w:after="283"/>
              <w:jc w:val="left"/>
              <w:rPr/>
            </w:pPr>
            <w:r>
              <w:rPr/>
              <w:t> </w:t>
            </w:r>
          </w:p>
        </w:tc>
        <w:tc>
          <w:tcPr>
            <w:tcW w:w="85" w:type="dxa"/>
            <w:tcBorders/>
            <w:shd w:fill="FFFFFF" w:val="clear"/>
            <w:tcMar>
              <w:bottom w:w="0" w:type="dxa"/>
            </w:tcMar>
            <w:vAlign w:val="center"/>
          </w:tcPr>
          <w:p>
            <w:pPr>
              <w:pStyle w:val="TableContents"/>
              <w:bidi w:val="0"/>
              <w:spacing w:before="0" w:after="283"/>
              <w:jc w:val="left"/>
              <w:rPr/>
            </w:pPr>
            <w:r>
              <w:rPr/>
              <w:t> </w:t>
            </w:r>
          </w:p>
        </w:tc>
        <w:tc>
          <w:tcPr>
            <w:tcW w:w="1396"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8" w:type="dxa"/>
            <w:tcBorders/>
            <w:shd w:fill="FFFFFF" w:val="clear"/>
            <w:tcMar>
              <w:bottom w:w="0" w:type="dxa"/>
            </w:tcMar>
            <w:vAlign w:val="center"/>
          </w:tcPr>
          <w:p>
            <w:pPr>
              <w:pStyle w:val="TableContents"/>
              <w:bidi w:val="0"/>
              <w:spacing w:before="0" w:after="283"/>
              <w:jc w:val="left"/>
              <w:rPr/>
            </w:pPr>
            <w:r>
              <w:rPr/>
              <w:t> </w:t>
            </w:r>
          </w:p>
        </w:tc>
        <w:tc>
          <w:tcPr>
            <w:tcW w:w="1168"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9" w:type="dxa"/>
            <w:tcBorders/>
            <w:shd w:fill="FFFFFF" w:val="clear"/>
            <w:tcMar>
              <w:bottom w:w="0" w:type="dxa"/>
            </w:tcMar>
            <w:vAlign w:val="center"/>
          </w:tcPr>
          <w:p>
            <w:pPr>
              <w:pStyle w:val="TableContents"/>
              <w:bidi w:val="0"/>
              <w:spacing w:before="0" w:after="283"/>
              <w:jc w:val="left"/>
              <w:rPr/>
            </w:pPr>
            <w:r>
              <w:rPr/>
              <w:t> </w:t>
            </w:r>
          </w:p>
        </w:tc>
        <w:tc>
          <w:tcPr>
            <w:tcW w:w="1792"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433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3" w:type="dxa"/>
            <w:tcBorders/>
            <w:shd w:fill="FFFFFF" w:val="clear"/>
            <w:tcMar>
              <w:bottom w:w="0" w:type="dxa"/>
            </w:tcMar>
            <w:vAlign w:val="center"/>
          </w:tcPr>
          <w:p>
            <w:pPr>
              <w:pStyle w:val="TableContents"/>
              <w:bidi w:val="0"/>
              <w:spacing w:before="0" w:after="283"/>
              <w:jc w:val="left"/>
              <w:rPr/>
            </w:pPr>
            <w:r>
              <w:rPr/>
              <w:t> </w:t>
            </w:r>
          </w:p>
        </w:tc>
        <w:tc>
          <w:tcPr>
            <w:tcW w:w="1434"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93" w:type="dxa"/>
            <w:tcBorders/>
            <w:shd w:fill="FFFFFF" w:val="clear"/>
            <w:tcMar>
              <w:bottom w:w="0" w:type="dxa"/>
            </w:tcMar>
            <w:vAlign w:val="center"/>
          </w:tcPr>
          <w:p>
            <w:pPr>
              <w:pStyle w:val="TableContents"/>
              <w:bidi w:val="0"/>
              <w:spacing w:before="0" w:after="283"/>
              <w:jc w:val="left"/>
              <w:rPr/>
            </w:pPr>
            <w:r>
              <w:rPr/>
              <w:t> </w:t>
            </w:r>
          </w:p>
        </w:tc>
        <w:tc>
          <w:tcPr>
            <w:tcW w:w="919"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1" w:type="dxa"/>
            <w:tcBorders/>
            <w:shd w:fill="FFFFFF" w:val="clear"/>
            <w:tcMar>
              <w:bottom w:w="0" w:type="dxa"/>
            </w:tcMar>
            <w:vAlign w:val="center"/>
          </w:tcPr>
          <w:p>
            <w:pPr>
              <w:pStyle w:val="TableContents"/>
              <w:bidi w:val="0"/>
              <w:spacing w:before="0" w:after="283"/>
              <w:jc w:val="left"/>
              <w:rPr/>
            </w:pPr>
            <w:r>
              <w:rPr/>
              <w:t> </w:t>
            </w:r>
          </w:p>
        </w:tc>
      </w:tr>
      <w:tr>
        <w:trPr/>
        <w:tc>
          <w:tcPr>
            <w:tcW w:w="1822"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Crédit Agricole Innovations et Territoires</w:t>
            </w:r>
            <w:r>
              <w:rPr>
                <w:rFonts w:ascii="Times New Roman;Times;Serif" w:hAnsi="Times New Roman;Times;Serif"/>
                <w:position w:val="7"/>
                <w:sz w:val="16"/>
                <w:sz w:val="20"/>
              </w:rPr>
              <w:t>(9)</w:t>
            </w:r>
          </w:p>
        </w:tc>
        <w:tc>
          <w:tcPr>
            <w:tcW w:w="60" w:type="dxa"/>
            <w:tcBorders/>
            <w:shd w:fill="CCEEFF" w:val="clear"/>
            <w:tcMar>
              <w:bottom w:w="0" w:type="dxa"/>
            </w:tcMar>
            <w:vAlign w:val="center"/>
          </w:tcPr>
          <w:p>
            <w:pPr>
              <w:pStyle w:val="TableContents"/>
              <w:bidi w:val="0"/>
              <w:spacing w:before="0" w:after="283"/>
              <w:jc w:val="left"/>
              <w:rPr/>
            </w:pPr>
            <w:r>
              <w:rPr/>
              <w:t> </w:t>
            </w:r>
          </w:p>
        </w:tc>
        <w:tc>
          <w:tcPr>
            <w:tcW w:w="85" w:type="dxa"/>
            <w:tcBorders/>
            <w:shd w:fill="CCEEFF" w:val="clear"/>
            <w:tcMar>
              <w:bottom w:w="0" w:type="dxa"/>
            </w:tcMar>
            <w:vAlign w:val="center"/>
          </w:tcPr>
          <w:p>
            <w:pPr>
              <w:pStyle w:val="TableContents"/>
              <w:bidi w:val="0"/>
              <w:spacing w:before="0" w:after="283"/>
              <w:jc w:val="left"/>
              <w:rPr/>
            </w:pPr>
            <w:r>
              <w:rPr/>
              <w:t> </w:t>
            </w:r>
          </w:p>
        </w:tc>
        <w:tc>
          <w:tcPr>
            <w:tcW w:w="1396"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300,366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8" w:type="dxa"/>
            <w:tcBorders/>
            <w:shd w:fill="CCEEFF" w:val="clear"/>
            <w:tcMar>
              <w:bottom w:w="0" w:type="dxa"/>
            </w:tcMar>
            <w:vAlign w:val="center"/>
          </w:tcPr>
          <w:p>
            <w:pPr>
              <w:pStyle w:val="TableContents"/>
              <w:bidi w:val="0"/>
              <w:spacing w:before="0" w:after="283"/>
              <w:jc w:val="left"/>
              <w:rPr/>
            </w:pPr>
            <w:r>
              <w:rPr/>
              <w:t> </w:t>
            </w:r>
          </w:p>
        </w:tc>
        <w:tc>
          <w:tcPr>
            <w:tcW w:w="1168"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9" w:type="dxa"/>
            <w:tcBorders/>
            <w:shd w:fill="CCEEFF" w:val="clear"/>
            <w:tcMar>
              <w:bottom w:w="0" w:type="dxa"/>
            </w:tcMar>
            <w:vAlign w:val="center"/>
          </w:tcPr>
          <w:p>
            <w:pPr>
              <w:pStyle w:val="TableContents"/>
              <w:bidi w:val="0"/>
              <w:spacing w:before="0" w:after="283"/>
              <w:jc w:val="left"/>
              <w:rPr/>
            </w:pPr>
            <w:r>
              <w:rPr/>
              <w:t> </w:t>
            </w:r>
          </w:p>
        </w:tc>
        <w:tc>
          <w:tcPr>
            <w:tcW w:w="1792"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1,957,952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3" w:type="dxa"/>
            <w:tcBorders/>
            <w:shd w:fill="CCEEFF" w:val="clear"/>
            <w:tcMar>
              <w:bottom w:w="0" w:type="dxa"/>
            </w:tcMar>
            <w:vAlign w:val="center"/>
          </w:tcPr>
          <w:p>
            <w:pPr>
              <w:pStyle w:val="TableContents"/>
              <w:bidi w:val="0"/>
              <w:spacing w:before="0" w:after="283"/>
              <w:jc w:val="left"/>
              <w:rPr/>
            </w:pPr>
            <w:r>
              <w:rPr/>
              <w:t> </w:t>
            </w:r>
          </w:p>
        </w:tc>
        <w:tc>
          <w:tcPr>
            <w:tcW w:w="1434"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93" w:type="dxa"/>
            <w:tcBorders/>
            <w:shd w:fill="CCEEFF" w:val="clear"/>
            <w:tcMar>
              <w:bottom w:w="0" w:type="dxa"/>
            </w:tcMar>
            <w:vAlign w:val="center"/>
          </w:tcPr>
          <w:p>
            <w:pPr>
              <w:pStyle w:val="TableContents"/>
              <w:bidi w:val="0"/>
              <w:spacing w:before="0" w:after="283"/>
              <w:jc w:val="left"/>
              <w:rPr/>
            </w:pPr>
            <w:r>
              <w:rPr/>
              <w:t> </w:t>
            </w:r>
          </w:p>
        </w:tc>
        <w:tc>
          <w:tcPr>
            <w:tcW w:w="919"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1" w:type="dxa"/>
            <w:tcBorders/>
            <w:shd w:fill="CCEEFF" w:val="clear"/>
            <w:tcMar>
              <w:bottom w:w="0" w:type="dxa"/>
            </w:tcMar>
            <w:vAlign w:val="center"/>
          </w:tcPr>
          <w:p>
            <w:pPr>
              <w:pStyle w:val="TableContents"/>
              <w:bidi w:val="0"/>
              <w:spacing w:before="0" w:after="283"/>
              <w:jc w:val="left"/>
              <w:rPr/>
            </w:pPr>
            <w:r>
              <w:rPr/>
              <w:t> </w:t>
            </w:r>
          </w:p>
        </w:tc>
      </w:tr>
      <w:tr>
        <w:trPr/>
        <w:tc>
          <w:tcPr>
            <w:tcW w:w="1822"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Croissance et Proximite 2, FPCI</w:t>
            </w:r>
            <w:r>
              <w:rPr>
                <w:rFonts w:ascii="Times New Roman;Times;Serif" w:hAnsi="Times New Roman;Times;Serif"/>
                <w:position w:val="7"/>
                <w:sz w:val="16"/>
                <w:sz w:val="20"/>
              </w:rPr>
              <w:t>(10)</w:t>
            </w:r>
          </w:p>
        </w:tc>
        <w:tc>
          <w:tcPr>
            <w:tcW w:w="60" w:type="dxa"/>
            <w:tcBorders/>
            <w:shd w:fill="FFFFFF" w:val="clear"/>
            <w:tcMar>
              <w:bottom w:w="0" w:type="dxa"/>
            </w:tcMar>
            <w:vAlign w:val="center"/>
          </w:tcPr>
          <w:p>
            <w:pPr>
              <w:pStyle w:val="TableContents"/>
              <w:bidi w:val="0"/>
              <w:spacing w:before="0" w:after="283"/>
              <w:jc w:val="left"/>
              <w:rPr/>
            </w:pPr>
            <w:r>
              <w:rPr/>
              <w:t> </w:t>
            </w:r>
          </w:p>
        </w:tc>
        <w:tc>
          <w:tcPr>
            <w:tcW w:w="85" w:type="dxa"/>
            <w:tcBorders/>
            <w:shd w:fill="FFFFFF" w:val="clear"/>
            <w:tcMar>
              <w:bottom w:w="0" w:type="dxa"/>
            </w:tcMar>
            <w:vAlign w:val="center"/>
          </w:tcPr>
          <w:p>
            <w:pPr>
              <w:pStyle w:val="TableContents"/>
              <w:bidi w:val="0"/>
              <w:spacing w:before="0" w:after="283"/>
              <w:jc w:val="left"/>
              <w:rPr/>
            </w:pPr>
            <w:r>
              <w:rPr/>
              <w:t> </w:t>
            </w:r>
          </w:p>
        </w:tc>
        <w:tc>
          <w:tcPr>
            <w:tcW w:w="1396"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161,581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8" w:type="dxa"/>
            <w:tcBorders/>
            <w:shd w:fill="FFFFFF" w:val="clear"/>
            <w:tcMar>
              <w:bottom w:w="0" w:type="dxa"/>
            </w:tcMar>
            <w:vAlign w:val="center"/>
          </w:tcPr>
          <w:p>
            <w:pPr>
              <w:pStyle w:val="TableContents"/>
              <w:bidi w:val="0"/>
              <w:spacing w:before="0" w:after="283"/>
              <w:jc w:val="left"/>
              <w:rPr/>
            </w:pPr>
            <w:r>
              <w:rPr/>
              <w:t> </w:t>
            </w:r>
          </w:p>
        </w:tc>
        <w:tc>
          <w:tcPr>
            <w:tcW w:w="1168"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9" w:type="dxa"/>
            <w:tcBorders/>
            <w:shd w:fill="FFFFFF" w:val="clear"/>
            <w:tcMar>
              <w:bottom w:w="0" w:type="dxa"/>
            </w:tcMar>
            <w:vAlign w:val="center"/>
          </w:tcPr>
          <w:p>
            <w:pPr>
              <w:pStyle w:val="TableContents"/>
              <w:bidi w:val="0"/>
              <w:spacing w:before="0" w:after="283"/>
              <w:jc w:val="left"/>
              <w:rPr/>
            </w:pPr>
            <w:r>
              <w:rPr/>
              <w:t> </w:t>
            </w:r>
          </w:p>
        </w:tc>
        <w:tc>
          <w:tcPr>
            <w:tcW w:w="1792"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1,053,287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3" w:type="dxa"/>
            <w:tcBorders/>
            <w:shd w:fill="FFFFFF" w:val="clear"/>
            <w:tcMar>
              <w:bottom w:w="0" w:type="dxa"/>
            </w:tcMar>
            <w:vAlign w:val="center"/>
          </w:tcPr>
          <w:p>
            <w:pPr>
              <w:pStyle w:val="TableContents"/>
              <w:bidi w:val="0"/>
              <w:spacing w:before="0" w:after="283"/>
              <w:jc w:val="left"/>
              <w:rPr/>
            </w:pPr>
            <w:r>
              <w:rPr/>
              <w:t> </w:t>
            </w:r>
          </w:p>
        </w:tc>
        <w:tc>
          <w:tcPr>
            <w:tcW w:w="1434"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93" w:type="dxa"/>
            <w:tcBorders/>
            <w:shd w:fill="FFFFFF" w:val="clear"/>
            <w:tcMar>
              <w:bottom w:w="0" w:type="dxa"/>
            </w:tcMar>
            <w:vAlign w:val="center"/>
          </w:tcPr>
          <w:p>
            <w:pPr>
              <w:pStyle w:val="TableContents"/>
              <w:bidi w:val="0"/>
              <w:spacing w:before="0" w:after="283"/>
              <w:jc w:val="left"/>
              <w:rPr/>
            </w:pPr>
            <w:r>
              <w:rPr/>
              <w:t> </w:t>
            </w:r>
          </w:p>
        </w:tc>
        <w:tc>
          <w:tcPr>
            <w:tcW w:w="919"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1" w:type="dxa"/>
            <w:tcBorders/>
            <w:shd w:fill="FFFFFF" w:val="clear"/>
            <w:tcMar>
              <w:bottom w:w="0" w:type="dxa"/>
            </w:tcMar>
            <w:vAlign w:val="center"/>
          </w:tcPr>
          <w:p>
            <w:pPr>
              <w:pStyle w:val="TableContents"/>
              <w:bidi w:val="0"/>
              <w:spacing w:before="0" w:after="283"/>
              <w:jc w:val="left"/>
              <w:rPr/>
            </w:pPr>
            <w:r>
              <w:rPr/>
              <w:t> </w:t>
            </w:r>
          </w:p>
        </w:tc>
      </w:tr>
      <w:tr>
        <w:trPr/>
        <w:tc>
          <w:tcPr>
            <w:tcW w:w="1822"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CS Group (Holding) Ltd.</w:t>
            </w:r>
            <w:r>
              <w:rPr>
                <w:rFonts w:ascii="Times New Roman;Times;Serif" w:hAnsi="Times New Roman;Times;Serif"/>
                <w:position w:val="7"/>
                <w:sz w:val="16"/>
                <w:sz w:val="20"/>
              </w:rPr>
              <w:t>(11)</w:t>
            </w:r>
          </w:p>
        </w:tc>
        <w:tc>
          <w:tcPr>
            <w:tcW w:w="60" w:type="dxa"/>
            <w:tcBorders/>
            <w:shd w:fill="CCEEFF" w:val="clear"/>
            <w:tcMar>
              <w:bottom w:w="0" w:type="dxa"/>
            </w:tcMar>
            <w:vAlign w:val="center"/>
          </w:tcPr>
          <w:p>
            <w:pPr>
              <w:pStyle w:val="TableContents"/>
              <w:bidi w:val="0"/>
              <w:spacing w:before="0" w:after="283"/>
              <w:jc w:val="left"/>
              <w:rPr/>
            </w:pPr>
            <w:r>
              <w:rPr/>
              <w:t> </w:t>
            </w:r>
          </w:p>
        </w:tc>
        <w:tc>
          <w:tcPr>
            <w:tcW w:w="85" w:type="dxa"/>
            <w:tcBorders/>
            <w:shd w:fill="CCEEFF" w:val="clear"/>
            <w:tcMar>
              <w:bottom w:w="0" w:type="dxa"/>
            </w:tcMar>
            <w:vAlign w:val="center"/>
          </w:tcPr>
          <w:p>
            <w:pPr>
              <w:pStyle w:val="TableContents"/>
              <w:bidi w:val="0"/>
              <w:spacing w:before="0" w:after="283"/>
              <w:jc w:val="left"/>
              <w:rPr/>
            </w:pPr>
            <w:r>
              <w:rPr/>
              <w:t> </w:t>
            </w:r>
          </w:p>
        </w:tc>
        <w:tc>
          <w:tcPr>
            <w:tcW w:w="1396"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3,536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8" w:type="dxa"/>
            <w:tcBorders/>
            <w:shd w:fill="CCEEFF" w:val="clear"/>
            <w:tcMar>
              <w:bottom w:w="0" w:type="dxa"/>
            </w:tcMar>
            <w:vAlign w:val="center"/>
          </w:tcPr>
          <w:p>
            <w:pPr>
              <w:pStyle w:val="TableContents"/>
              <w:bidi w:val="0"/>
              <w:spacing w:before="0" w:after="283"/>
              <w:jc w:val="left"/>
              <w:rPr/>
            </w:pPr>
            <w:r>
              <w:rPr/>
              <w:t> </w:t>
            </w:r>
          </w:p>
        </w:tc>
        <w:tc>
          <w:tcPr>
            <w:tcW w:w="1168"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9" w:type="dxa"/>
            <w:tcBorders/>
            <w:shd w:fill="CCEEFF" w:val="clear"/>
            <w:tcMar>
              <w:bottom w:w="0" w:type="dxa"/>
            </w:tcMar>
            <w:vAlign w:val="center"/>
          </w:tcPr>
          <w:p>
            <w:pPr>
              <w:pStyle w:val="TableContents"/>
              <w:bidi w:val="0"/>
              <w:spacing w:before="0" w:after="283"/>
              <w:jc w:val="left"/>
              <w:rPr/>
            </w:pPr>
            <w:r>
              <w:rPr/>
              <w:t> </w:t>
            </w:r>
          </w:p>
        </w:tc>
        <w:tc>
          <w:tcPr>
            <w:tcW w:w="1792"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22,348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3" w:type="dxa"/>
            <w:tcBorders/>
            <w:shd w:fill="CCEEFF" w:val="clear"/>
            <w:tcMar>
              <w:bottom w:w="0" w:type="dxa"/>
            </w:tcMar>
            <w:vAlign w:val="center"/>
          </w:tcPr>
          <w:p>
            <w:pPr>
              <w:pStyle w:val="TableContents"/>
              <w:bidi w:val="0"/>
              <w:spacing w:before="0" w:after="283"/>
              <w:jc w:val="left"/>
              <w:rPr/>
            </w:pPr>
            <w:r>
              <w:rPr/>
              <w:t> </w:t>
            </w:r>
          </w:p>
        </w:tc>
        <w:tc>
          <w:tcPr>
            <w:tcW w:w="1434"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93" w:type="dxa"/>
            <w:tcBorders/>
            <w:shd w:fill="CCEEFF" w:val="clear"/>
            <w:tcMar>
              <w:bottom w:w="0" w:type="dxa"/>
            </w:tcMar>
            <w:vAlign w:val="center"/>
          </w:tcPr>
          <w:p>
            <w:pPr>
              <w:pStyle w:val="TableContents"/>
              <w:bidi w:val="0"/>
              <w:spacing w:before="0" w:after="283"/>
              <w:jc w:val="left"/>
              <w:rPr/>
            </w:pPr>
            <w:r>
              <w:rPr/>
              <w:t> </w:t>
            </w:r>
          </w:p>
        </w:tc>
        <w:tc>
          <w:tcPr>
            <w:tcW w:w="919"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1" w:type="dxa"/>
            <w:tcBorders/>
            <w:shd w:fill="CCEEFF" w:val="clear"/>
            <w:tcMar>
              <w:bottom w:w="0" w:type="dxa"/>
            </w:tcMar>
            <w:vAlign w:val="center"/>
          </w:tcPr>
          <w:p>
            <w:pPr>
              <w:pStyle w:val="TableContents"/>
              <w:bidi w:val="0"/>
              <w:spacing w:before="0" w:after="283"/>
              <w:jc w:val="left"/>
              <w:rPr/>
            </w:pPr>
            <w:r>
              <w:rPr/>
              <w:t> </w:t>
            </w:r>
          </w:p>
        </w:tc>
      </w:tr>
      <w:tr>
        <w:trPr/>
        <w:tc>
          <w:tcPr>
            <w:tcW w:w="1822"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Deboeuf, Sébastien</w:t>
            </w:r>
          </w:p>
        </w:tc>
        <w:tc>
          <w:tcPr>
            <w:tcW w:w="60" w:type="dxa"/>
            <w:tcBorders/>
            <w:shd w:fill="FFFFFF" w:val="clear"/>
            <w:tcMar>
              <w:bottom w:w="0" w:type="dxa"/>
            </w:tcMar>
            <w:vAlign w:val="center"/>
          </w:tcPr>
          <w:p>
            <w:pPr>
              <w:pStyle w:val="TableContents"/>
              <w:bidi w:val="0"/>
              <w:spacing w:before="0" w:after="283"/>
              <w:jc w:val="left"/>
              <w:rPr/>
            </w:pPr>
            <w:r>
              <w:rPr/>
              <w:t> </w:t>
            </w:r>
          </w:p>
        </w:tc>
        <w:tc>
          <w:tcPr>
            <w:tcW w:w="85" w:type="dxa"/>
            <w:tcBorders/>
            <w:shd w:fill="FFFFFF" w:val="clear"/>
            <w:tcMar>
              <w:bottom w:w="0" w:type="dxa"/>
            </w:tcMar>
            <w:vAlign w:val="center"/>
          </w:tcPr>
          <w:p>
            <w:pPr>
              <w:pStyle w:val="TableContents"/>
              <w:bidi w:val="0"/>
              <w:spacing w:before="0" w:after="283"/>
              <w:jc w:val="left"/>
              <w:rPr/>
            </w:pPr>
            <w:r>
              <w:rPr/>
              <w:t> </w:t>
            </w:r>
          </w:p>
        </w:tc>
        <w:tc>
          <w:tcPr>
            <w:tcW w:w="1396"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8" w:type="dxa"/>
            <w:tcBorders/>
            <w:shd w:fill="FFFFFF" w:val="clear"/>
            <w:tcMar>
              <w:bottom w:w="0" w:type="dxa"/>
            </w:tcMar>
            <w:vAlign w:val="center"/>
          </w:tcPr>
          <w:p>
            <w:pPr>
              <w:pStyle w:val="TableContents"/>
              <w:bidi w:val="0"/>
              <w:spacing w:before="0" w:after="283"/>
              <w:jc w:val="left"/>
              <w:rPr/>
            </w:pPr>
            <w:r>
              <w:rPr/>
              <w:t> </w:t>
            </w:r>
          </w:p>
        </w:tc>
        <w:tc>
          <w:tcPr>
            <w:tcW w:w="1168"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9" w:type="dxa"/>
            <w:tcBorders/>
            <w:shd w:fill="FFFFFF" w:val="clear"/>
            <w:tcMar>
              <w:bottom w:w="0" w:type="dxa"/>
            </w:tcMar>
            <w:vAlign w:val="center"/>
          </w:tcPr>
          <w:p>
            <w:pPr>
              <w:pStyle w:val="TableContents"/>
              <w:bidi w:val="0"/>
              <w:spacing w:before="0" w:after="283"/>
              <w:jc w:val="left"/>
              <w:rPr/>
            </w:pPr>
            <w:r>
              <w:rPr/>
              <w:t> </w:t>
            </w:r>
          </w:p>
        </w:tc>
        <w:tc>
          <w:tcPr>
            <w:tcW w:w="1792"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767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3" w:type="dxa"/>
            <w:tcBorders/>
            <w:shd w:fill="FFFFFF" w:val="clear"/>
            <w:tcMar>
              <w:bottom w:w="0" w:type="dxa"/>
            </w:tcMar>
            <w:vAlign w:val="center"/>
          </w:tcPr>
          <w:p>
            <w:pPr>
              <w:pStyle w:val="TableContents"/>
              <w:bidi w:val="0"/>
              <w:spacing w:before="0" w:after="283"/>
              <w:jc w:val="left"/>
              <w:rPr/>
            </w:pPr>
            <w:r>
              <w:rPr/>
              <w:t> </w:t>
            </w:r>
          </w:p>
        </w:tc>
        <w:tc>
          <w:tcPr>
            <w:tcW w:w="1434"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93" w:type="dxa"/>
            <w:tcBorders/>
            <w:shd w:fill="FFFFFF" w:val="clear"/>
            <w:tcMar>
              <w:bottom w:w="0" w:type="dxa"/>
            </w:tcMar>
            <w:vAlign w:val="center"/>
          </w:tcPr>
          <w:p>
            <w:pPr>
              <w:pStyle w:val="TableContents"/>
              <w:bidi w:val="0"/>
              <w:spacing w:before="0" w:after="283"/>
              <w:jc w:val="left"/>
              <w:rPr/>
            </w:pPr>
            <w:r>
              <w:rPr/>
              <w:t> </w:t>
            </w:r>
          </w:p>
        </w:tc>
        <w:tc>
          <w:tcPr>
            <w:tcW w:w="919"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1" w:type="dxa"/>
            <w:tcBorders/>
            <w:shd w:fill="FFFFFF" w:val="clear"/>
            <w:tcMar>
              <w:bottom w:w="0" w:type="dxa"/>
            </w:tcMar>
            <w:vAlign w:val="center"/>
          </w:tcPr>
          <w:p>
            <w:pPr>
              <w:pStyle w:val="TableContents"/>
              <w:bidi w:val="0"/>
              <w:spacing w:before="0" w:after="283"/>
              <w:jc w:val="left"/>
              <w:rPr/>
            </w:pPr>
            <w:r>
              <w:rPr/>
              <w:t> </w:t>
            </w:r>
          </w:p>
        </w:tc>
      </w:tr>
      <w:tr>
        <w:trPr/>
        <w:tc>
          <w:tcPr>
            <w:tcW w:w="1822"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Delfosse, Jacques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85" w:type="dxa"/>
            <w:tcBorders/>
            <w:shd w:fill="CCEEFF" w:val="clear"/>
            <w:tcMar>
              <w:bottom w:w="0" w:type="dxa"/>
            </w:tcMar>
            <w:vAlign w:val="center"/>
          </w:tcPr>
          <w:p>
            <w:pPr>
              <w:pStyle w:val="TableContents"/>
              <w:bidi w:val="0"/>
              <w:spacing w:before="0" w:after="283"/>
              <w:jc w:val="left"/>
              <w:rPr/>
            </w:pPr>
            <w:r>
              <w:rPr/>
              <w:t> </w:t>
            </w:r>
          </w:p>
        </w:tc>
        <w:tc>
          <w:tcPr>
            <w:tcW w:w="1396"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8" w:type="dxa"/>
            <w:tcBorders/>
            <w:shd w:fill="CCEEFF" w:val="clear"/>
            <w:tcMar>
              <w:bottom w:w="0" w:type="dxa"/>
            </w:tcMar>
            <w:vAlign w:val="center"/>
          </w:tcPr>
          <w:p>
            <w:pPr>
              <w:pStyle w:val="TableContents"/>
              <w:bidi w:val="0"/>
              <w:spacing w:before="0" w:after="283"/>
              <w:jc w:val="left"/>
              <w:rPr/>
            </w:pPr>
            <w:r>
              <w:rPr/>
              <w:t> </w:t>
            </w:r>
          </w:p>
        </w:tc>
        <w:tc>
          <w:tcPr>
            <w:tcW w:w="1168"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9" w:type="dxa"/>
            <w:tcBorders/>
            <w:shd w:fill="CCEEFF" w:val="clear"/>
            <w:tcMar>
              <w:bottom w:w="0" w:type="dxa"/>
            </w:tcMar>
            <w:vAlign w:val="center"/>
          </w:tcPr>
          <w:p>
            <w:pPr>
              <w:pStyle w:val="TableContents"/>
              <w:bidi w:val="0"/>
              <w:spacing w:before="0" w:after="283"/>
              <w:jc w:val="left"/>
              <w:rPr/>
            </w:pPr>
            <w:r>
              <w:rPr/>
              <w:t> </w:t>
            </w:r>
          </w:p>
        </w:tc>
        <w:tc>
          <w:tcPr>
            <w:tcW w:w="1792"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595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3" w:type="dxa"/>
            <w:tcBorders/>
            <w:shd w:fill="CCEEFF" w:val="clear"/>
            <w:tcMar>
              <w:bottom w:w="0" w:type="dxa"/>
            </w:tcMar>
            <w:vAlign w:val="center"/>
          </w:tcPr>
          <w:p>
            <w:pPr>
              <w:pStyle w:val="TableContents"/>
              <w:bidi w:val="0"/>
              <w:spacing w:before="0" w:after="283"/>
              <w:jc w:val="left"/>
              <w:rPr/>
            </w:pPr>
            <w:r>
              <w:rPr/>
              <w:t> </w:t>
            </w:r>
          </w:p>
        </w:tc>
        <w:tc>
          <w:tcPr>
            <w:tcW w:w="1434"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93" w:type="dxa"/>
            <w:tcBorders/>
            <w:shd w:fill="CCEEFF" w:val="clear"/>
            <w:tcMar>
              <w:bottom w:w="0" w:type="dxa"/>
            </w:tcMar>
            <w:vAlign w:val="center"/>
          </w:tcPr>
          <w:p>
            <w:pPr>
              <w:pStyle w:val="TableContents"/>
              <w:bidi w:val="0"/>
              <w:spacing w:before="0" w:after="283"/>
              <w:jc w:val="left"/>
              <w:rPr/>
            </w:pPr>
            <w:r>
              <w:rPr/>
              <w:t> </w:t>
            </w:r>
          </w:p>
        </w:tc>
        <w:tc>
          <w:tcPr>
            <w:tcW w:w="919"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1" w:type="dxa"/>
            <w:tcBorders/>
            <w:shd w:fill="CCEEFF" w:val="clear"/>
            <w:tcMar>
              <w:bottom w:w="0" w:type="dxa"/>
            </w:tcMar>
            <w:vAlign w:val="center"/>
          </w:tcPr>
          <w:p>
            <w:pPr>
              <w:pStyle w:val="TableContents"/>
              <w:bidi w:val="0"/>
              <w:spacing w:before="0" w:after="283"/>
              <w:jc w:val="left"/>
              <w:rPr/>
            </w:pPr>
            <w:r>
              <w:rPr/>
              <w:t> </w:t>
            </w:r>
          </w:p>
        </w:tc>
      </w:tr>
      <w:tr>
        <w:trPr/>
        <w:tc>
          <w:tcPr>
            <w:tcW w:w="1822"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Destriez, Dominique</w:t>
            </w:r>
          </w:p>
        </w:tc>
        <w:tc>
          <w:tcPr>
            <w:tcW w:w="60" w:type="dxa"/>
            <w:tcBorders/>
            <w:shd w:fill="FFFFFF" w:val="clear"/>
            <w:tcMar>
              <w:bottom w:w="0" w:type="dxa"/>
            </w:tcMar>
            <w:vAlign w:val="center"/>
          </w:tcPr>
          <w:p>
            <w:pPr>
              <w:pStyle w:val="TableContents"/>
              <w:bidi w:val="0"/>
              <w:spacing w:before="0" w:after="283"/>
              <w:jc w:val="left"/>
              <w:rPr/>
            </w:pPr>
            <w:r>
              <w:rPr/>
              <w:t> </w:t>
            </w:r>
          </w:p>
        </w:tc>
        <w:tc>
          <w:tcPr>
            <w:tcW w:w="85" w:type="dxa"/>
            <w:tcBorders/>
            <w:shd w:fill="FFFFFF" w:val="clear"/>
            <w:tcMar>
              <w:bottom w:w="0" w:type="dxa"/>
            </w:tcMar>
            <w:vAlign w:val="center"/>
          </w:tcPr>
          <w:p>
            <w:pPr>
              <w:pStyle w:val="TableContents"/>
              <w:bidi w:val="0"/>
              <w:spacing w:before="0" w:after="283"/>
              <w:jc w:val="left"/>
              <w:rPr/>
            </w:pPr>
            <w:r>
              <w:rPr/>
              <w:t> </w:t>
            </w:r>
          </w:p>
        </w:tc>
        <w:tc>
          <w:tcPr>
            <w:tcW w:w="1396"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15,890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8" w:type="dxa"/>
            <w:tcBorders/>
            <w:shd w:fill="FFFFFF" w:val="clear"/>
            <w:tcMar>
              <w:bottom w:w="0" w:type="dxa"/>
            </w:tcMar>
            <w:vAlign w:val="center"/>
          </w:tcPr>
          <w:p>
            <w:pPr>
              <w:pStyle w:val="TableContents"/>
              <w:bidi w:val="0"/>
              <w:spacing w:before="0" w:after="283"/>
              <w:jc w:val="left"/>
              <w:rPr/>
            </w:pPr>
            <w:r>
              <w:rPr/>
              <w:t> </w:t>
            </w:r>
          </w:p>
        </w:tc>
        <w:tc>
          <w:tcPr>
            <w:tcW w:w="1168"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9" w:type="dxa"/>
            <w:tcBorders/>
            <w:shd w:fill="FFFFFF" w:val="clear"/>
            <w:tcMar>
              <w:bottom w:w="0" w:type="dxa"/>
            </w:tcMar>
            <w:vAlign w:val="center"/>
          </w:tcPr>
          <w:p>
            <w:pPr>
              <w:pStyle w:val="TableContents"/>
              <w:bidi w:val="0"/>
              <w:spacing w:before="0" w:after="283"/>
              <w:jc w:val="left"/>
              <w:rPr/>
            </w:pPr>
            <w:r>
              <w:rPr/>
              <w:t> </w:t>
            </w:r>
          </w:p>
        </w:tc>
        <w:tc>
          <w:tcPr>
            <w:tcW w:w="1792"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103,581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3" w:type="dxa"/>
            <w:tcBorders/>
            <w:shd w:fill="FFFFFF" w:val="clear"/>
            <w:tcMar>
              <w:bottom w:w="0" w:type="dxa"/>
            </w:tcMar>
            <w:vAlign w:val="center"/>
          </w:tcPr>
          <w:p>
            <w:pPr>
              <w:pStyle w:val="TableContents"/>
              <w:bidi w:val="0"/>
              <w:spacing w:before="0" w:after="283"/>
              <w:jc w:val="left"/>
              <w:rPr/>
            </w:pPr>
            <w:r>
              <w:rPr/>
              <w:t> </w:t>
            </w:r>
          </w:p>
        </w:tc>
        <w:tc>
          <w:tcPr>
            <w:tcW w:w="1434"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93" w:type="dxa"/>
            <w:tcBorders/>
            <w:shd w:fill="FFFFFF" w:val="clear"/>
            <w:tcMar>
              <w:bottom w:w="0" w:type="dxa"/>
            </w:tcMar>
            <w:vAlign w:val="center"/>
          </w:tcPr>
          <w:p>
            <w:pPr>
              <w:pStyle w:val="TableContents"/>
              <w:bidi w:val="0"/>
              <w:spacing w:before="0" w:after="283"/>
              <w:jc w:val="left"/>
              <w:rPr/>
            </w:pPr>
            <w:r>
              <w:rPr/>
              <w:t> </w:t>
            </w:r>
          </w:p>
        </w:tc>
        <w:tc>
          <w:tcPr>
            <w:tcW w:w="919"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1" w:type="dxa"/>
            <w:tcBorders/>
            <w:shd w:fill="FFFFFF" w:val="clear"/>
            <w:tcMar>
              <w:bottom w:w="0" w:type="dxa"/>
            </w:tcMar>
            <w:vAlign w:val="center"/>
          </w:tcPr>
          <w:p>
            <w:pPr>
              <w:pStyle w:val="TableContents"/>
              <w:bidi w:val="0"/>
              <w:spacing w:before="0" w:after="283"/>
              <w:jc w:val="left"/>
              <w:rPr/>
            </w:pPr>
            <w:r>
              <w:rPr/>
              <w:t> </w:t>
            </w:r>
          </w:p>
        </w:tc>
      </w:tr>
      <w:tr>
        <w:trPr/>
        <w:tc>
          <w:tcPr>
            <w:tcW w:w="1822"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Ducourret, Gérard</w:t>
            </w:r>
          </w:p>
        </w:tc>
        <w:tc>
          <w:tcPr>
            <w:tcW w:w="60" w:type="dxa"/>
            <w:tcBorders/>
            <w:shd w:fill="CCEEFF" w:val="clear"/>
            <w:tcMar>
              <w:bottom w:w="0" w:type="dxa"/>
            </w:tcMar>
            <w:vAlign w:val="center"/>
          </w:tcPr>
          <w:p>
            <w:pPr>
              <w:pStyle w:val="TableContents"/>
              <w:bidi w:val="0"/>
              <w:spacing w:before="0" w:after="283"/>
              <w:jc w:val="left"/>
              <w:rPr/>
            </w:pPr>
            <w:r>
              <w:rPr/>
              <w:t> </w:t>
            </w:r>
          </w:p>
        </w:tc>
        <w:tc>
          <w:tcPr>
            <w:tcW w:w="85" w:type="dxa"/>
            <w:tcBorders/>
            <w:shd w:fill="CCEEFF" w:val="clear"/>
            <w:tcMar>
              <w:bottom w:w="0" w:type="dxa"/>
            </w:tcMar>
            <w:vAlign w:val="center"/>
          </w:tcPr>
          <w:p>
            <w:pPr>
              <w:pStyle w:val="TableContents"/>
              <w:bidi w:val="0"/>
              <w:spacing w:before="0" w:after="283"/>
              <w:jc w:val="left"/>
              <w:rPr/>
            </w:pPr>
            <w:r>
              <w:rPr/>
              <w:t> </w:t>
            </w:r>
          </w:p>
        </w:tc>
        <w:tc>
          <w:tcPr>
            <w:tcW w:w="1396"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8" w:type="dxa"/>
            <w:tcBorders/>
            <w:shd w:fill="CCEEFF" w:val="clear"/>
            <w:tcMar>
              <w:bottom w:w="0" w:type="dxa"/>
            </w:tcMar>
            <w:vAlign w:val="center"/>
          </w:tcPr>
          <w:p>
            <w:pPr>
              <w:pStyle w:val="TableContents"/>
              <w:bidi w:val="0"/>
              <w:spacing w:before="0" w:after="283"/>
              <w:jc w:val="left"/>
              <w:rPr/>
            </w:pPr>
            <w:r>
              <w:rPr/>
              <w:t> </w:t>
            </w:r>
          </w:p>
        </w:tc>
        <w:tc>
          <w:tcPr>
            <w:tcW w:w="1168"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9" w:type="dxa"/>
            <w:tcBorders/>
            <w:shd w:fill="CCEEFF" w:val="clear"/>
            <w:tcMar>
              <w:bottom w:w="0" w:type="dxa"/>
            </w:tcMar>
            <w:vAlign w:val="center"/>
          </w:tcPr>
          <w:p>
            <w:pPr>
              <w:pStyle w:val="TableContents"/>
              <w:bidi w:val="0"/>
              <w:spacing w:before="0" w:after="283"/>
              <w:jc w:val="left"/>
              <w:rPr/>
            </w:pPr>
            <w:r>
              <w:rPr/>
              <w:t> </w:t>
            </w:r>
          </w:p>
        </w:tc>
        <w:tc>
          <w:tcPr>
            <w:tcW w:w="1792"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3" w:type="dxa"/>
            <w:tcBorders/>
            <w:shd w:fill="CCEEFF" w:val="clear"/>
            <w:tcMar>
              <w:bottom w:w="0" w:type="dxa"/>
            </w:tcMar>
            <w:vAlign w:val="center"/>
          </w:tcPr>
          <w:p>
            <w:pPr>
              <w:pStyle w:val="TableContents"/>
              <w:bidi w:val="0"/>
              <w:spacing w:before="0" w:after="283"/>
              <w:jc w:val="left"/>
              <w:rPr/>
            </w:pPr>
            <w:r>
              <w:rPr/>
              <w:t> </w:t>
            </w:r>
          </w:p>
        </w:tc>
        <w:tc>
          <w:tcPr>
            <w:tcW w:w="1434"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93" w:type="dxa"/>
            <w:tcBorders/>
            <w:shd w:fill="CCEEFF" w:val="clear"/>
            <w:tcMar>
              <w:bottom w:w="0" w:type="dxa"/>
            </w:tcMar>
            <w:vAlign w:val="center"/>
          </w:tcPr>
          <w:p>
            <w:pPr>
              <w:pStyle w:val="TableContents"/>
              <w:bidi w:val="0"/>
              <w:spacing w:before="0" w:after="283"/>
              <w:jc w:val="left"/>
              <w:rPr/>
            </w:pPr>
            <w:r>
              <w:rPr/>
              <w:t> </w:t>
            </w:r>
          </w:p>
        </w:tc>
        <w:tc>
          <w:tcPr>
            <w:tcW w:w="919"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1" w:type="dxa"/>
            <w:tcBorders/>
            <w:shd w:fill="CCEEFF" w:val="clear"/>
            <w:tcMar>
              <w:bottom w:w="0" w:type="dxa"/>
            </w:tcMar>
            <w:vAlign w:val="center"/>
          </w:tcPr>
          <w:p>
            <w:pPr>
              <w:pStyle w:val="TableContents"/>
              <w:bidi w:val="0"/>
              <w:spacing w:before="0" w:after="283"/>
              <w:jc w:val="left"/>
              <w:rPr/>
            </w:pPr>
            <w:r>
              <w:rPr/>
              <w:t> </w:t>
            </w:r>
          </w:p>
        </w:tc>
      </w:tr>
      <w:tr>
        <w:trPr/>
        <w:tc>
          <w:tcPr>
            <w:tcW w:w="1822"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European Investment Bank</w:t>
            </w:r>
            <w:r>
              <w:rPr>
                <w:rFonts w:ascii="Times New Roman;Times;Serif" w:hAnsi="Times New Roman;Times;Serif"/>
                <w:position w:val="7"/>
                <w:sz w:val="16"/>
                <w:sz w:val="20"/>
              </w:rPr>
              <w:t>(12)</w:t>
            </w:r>
          </w:p>
        </w:tc>
        <w:tc>
          <w:tcPr>
            <w:tcW w:w="60" w:type="dxa"/>
            <w:tcBorders/>
            <w:shd w:fill="FFFFFF" w:val="clear"/>
            <w:tcMar>
              <w:bottom w:w="0" w:type="dxa"/>
            </w:tcMar>
            <w:vAlign w:val="center"/>
          </w:tcPr>
          <w:p>
            <w:pPr>
              <w:pStyle w:val="TableContents"/>
              <w:bidi w:val="0"/>
              <w:spacing w:before="0" w:after="283"/>
              <w:jc w:val="left"/>
              <w:rPr/>
            </w:pPr>
            <w:r>
              <w:rPr/>
              <w:t> </w:t>
            </w:r>
          </w:p>
        </w:tc>
        <w:tc>
          <w:tcPr>
            <w:tcW w:w="85" w:type="dxa"/>
            <w:tcBorders/>
            <w:shd w:fill="FFFFFF" w:val="clear"/>
            <w:tcMar>
              <w:bottom w:w="0" w:type="dxa"/>
            </w:tcMar>
            <w:vAlign w:val="center"/>
          </w:tcPr>
          <w:p>
            <w:pPr>
              <w:pStyle w:val="TableContents"/>
              <w:bidi w:val="0"/>
              <w:spacing w:before="0" w:after="283"/>
              <w:jc w:val="left"/>
              <w:rPr/>
            </w:pPr>
            <w:r>
              <w:rPr/>
              <w:t> </w:t>
            </w:r>
          </w:p>
        </w:tc>
        <w:tc>
          <w:tcPr>
            <w:tcW w:w="1396"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4,575,143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8" w:type="dxa"/>
            <w:tcBorders/>
            <w:shd w:fill="FFFFFF" w:val="clear"/>
            <w:tcMar>
              <w:bottom w:w="0" w:type="dxa"/>
            </w:tcMar>
            <w:vAlign w:val="center"/>
          </w:tcPr>
          <w:p>
            <w:pPr>
              <w:pStyle w:val="TableContents"/>
              <w:bidi w:val="0"/>
              <w:spacing w:before="0" w:after="283"/>
              <w:jc w:val="left"/>
              <w:rPr/>
            </w:pPr>
            <w:r>
              <w:rPr/>
              <w:t> </w:t>
            </w:r>
          </w:p>
        </w:tc>
        <w:tc>
          <w:tcPr>
            <w:tcW w:w="1168"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4.39</w:t>
            </w:r>
          </w:p>
        </w:tc>
        <w:tc>
          <w:tcPr>
            <w:tcW w:w="21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9" w:type="dxa"/>
            <w:tcBorders/>
            <w:shd w:fill="FFFFFF" w:val="clear"/>
            <w:tcMar>
              <w:bottom w:w="0" w:type="dxa"/>
            </w:tcMar>
            <w:vAlign w:val="center"/>
          </w:tcPr>
          <w:p>
            <w:pPr>
              <w:pStyle w:val="TableContents"/>
              <w:bidi w:val="0"/>
              <w:spacing w:before="0" w:after="283"/>
              <w:jc w:val="left"/>
              <w:rPr/>
            </w:pPr>
            <w:r>
              <w:rPr/>
              <w:t> </w:t>
            </w:r>
          </w:p>
        </w:tc>
        <w:tc>
          <w:tcPr>
            <w:tcW w:w="1792"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9,273,249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3" w:type="dxa"/>
            <w:tcBorders/>
            <w:shd w:fill="FFFFFF" w:val="clear"/>
            <w:tcMar>
              <w:bottom w:w="0" w:type="dxa"/>
            </w:tcMar>
            <w:vAlign w:val="center"/>
          </w:tcPr>
          <w:p>
            <w:pPr>
              <w:pStyle w:val="TableContents"/>
              <w:bidi w:val="0"/>
              <w:spacing w:before="0" w:after="283"/>
              <w:jc w:val="left"/>
              <w:rPr/>
            </w:pPr>
            <w:r>
              <w:rPr/>
              <w:t> </w:t>
            </w:r>
          </w:p>
        </w:tc>
        <w:tc>
          <w:tcPr>
            <w:tcW w:w="1434"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93" w:type="dxa"/>
            <w:tcBorders/>
            <w:shd w:fill="FFFFFF" w:val="clear"/>
            <w:tcMar>
              <w:bottom w:w="0" w:type="dxa"/>
            </w:tcMar>
            <w:vAlign w:val="center"/>
          </w:tcPr>
          <w:p>
            <w:pPr>
              <w:pStyle w:val="TableContents"/>
              <w:bidi w:val="0"/>
              <w:spacing w:before="0" w:after="283"/>
              <w:jc w:val="left"/>
              <w:rPr/>
            </w:pPr>
            <w:r>
              <w:rPr/>
              <w:t> </w:t>
            </w:r>
          </w:p>
        </w:tc>
        <w:tc>
          <w:tcPr>
            <w:tcW w:w="919"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1" w:type="dxa"/>
            <w:tcBorders/>
            <w:shd w:fill="FFFFFF" w:val="clear"/>
            <w:tcMar>
              <w:bottom w:w="0" w:type="dxa"/>
            </w:tcMar>
            <w:vAlign w:val="center"/>
          </w:tcPr>
          <w:p>
            <w:pPr>
              <w:pStyle w:val="TableContents"/>
              <w:bidi w:val="0"/>
              <w:spacing w:before="0" w:after="283"/>
              <w:jc w:val="left"/>
              <w:rPr/>
            </w:pPr>
            <w:r>
              <w:rPr/>
              <w:t> </w:t>
            </w:r>
          </w:p>
        </w:tc>
      </w:tr>
      <w:tr>
        <w:trPr/>
        <w:tc>
          <w:tcPr>
            <w:tcW w:w="1822"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FactoGeo</w:t>
            </w:r>
            <w:r>
              <w:rPr>
                <w:rFonts w:ascii="Times New Roman;Times;Serif" w:hAnsi="Times New Roman;Times;Serif"/>
                <w:position w:val="7"/>
                <w:sz w:val="16"/>
                <w:sz w:val="20"/>
              </w:rPr>
              <w:t>(13)</w:t>
            </w:r>
          </w:p>
        </w:tc>
        <w:tc>
          <w:tcPr>
            <w:tcW w:w="60" w:type="dxa"/>
            <w:tcBorders/>
            <w:shd w:fill="CCEEFF" w:val="clear"/>
            <w:tcMar>
              <w:bottom w:w="0" w:type="dxa"/>
            </w:tcMar>
            <w:vAlign w:val="center"/>
          </w:tcPr>
          <w:p>
            <w:pPr>
              <w:pStyle w:val="TableContents"/>
              <w:bidi w:val="0"/>
              <w:spacing w:before="0" w:after="283"/>
              <w:jc w:val="left"/>
              <w:rPr/>
            </w:pPr>
            <w:r>
              <w:rPr/>
              <w:t> </w:t>
            </w:r>
          </w:p>
        </w:tc>
        <w:tc>
          <w:tcPr>
            <w:tcW w:w="85" w:type="dxa"/>
            <w:tcBorders/>
            <w:shd w:fill="CCEEFF" w:val="clear"/>
            <w:tcMar>
              <w:bottom w:w="0" w:type="dxa"/>
            </w:tcMar>
            <w:vAlign w:val="center"/>
          </w:tcPr>
          <w:p>
            <w:pPr>
              <w:pStyle w:val="TableContents"/>
              <w:bidi w:val="0"/>
              <w:spacing w:before="0" w:after="283"/>
              <w:jc w:val="left"/>
              <w:rPr/>
            </w:pPr>
            <w:r>
              <w:rPr/>
              <w:t> </w:t>
            </w:r>
          </w:p>
        </w:tc>
        <w:tc>
          <w:tcPr>
            <w:tcW w:w="1396"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41,462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8" w:type="dxa"/>
            <w:tcBorders/>
            <w:shd w:fill="CCEEFF" w:val="clear"/>
            <w:tcMar>
              <w:bottom w:w="0" w:type="dxa"/>
            </w:tcMar>
            <w:vAlign w:val="center"/>
          </w:tcPr>
          <w:p>
            <w:pPr>
              <w:pStyle w:val="TableContents"/>
              <w:bidi w:val="0"/>
              <w:spacing w:before="0" w:after="283"/>
              <w:jc w:val="left"/>
              <w:rPr/>
            </w:pPr>
            <w:r>
              <w:rPr/>
              <w:t> </w:t>
            </w:r>
          </w:p>
        </w:tc>
        <w:tc>
          <w:tcPr>
            <w:tcW w:w="1168"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9" w:type="dxa"/>
            <w:tcBorders/>
            <w:shd w:fill="CCEEFF" w:val="clear"/>
            <w:tcMar>
              <w:bottom w:w="0" w:type="dxa"/>
            </w:tcMar>
            <w:vAlign w:val="center"/>
          </w:tcPr>
          <w:p>
            <w:pPr>
              <w:pStyle w:val="TableContents"/>
              <w:bidi w:val="0"/>
              <w:spacing w:before="0" w:after="283"/>
              <w:jc w:val="left"/>
              <w:rPr/>
            </w:pPr>
            <w:r>
              <w:rPr/>
              <w:t> </w:t>
            </w:r>
          </w:p>
        </w:tc>
        <w:tc>
          <w:tcPr>
            <w:tcW w:w="1792"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270,280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3" w:type="dxa"/>
            <w:tcBorders/>
            <w:shd w:fill="CCEEFF" w:val="clear"/>
            <w:tcMar>
              <w:bottom w:w="0" w:type="dxa"/>
            </w:tcMar>
            <w:vAlign w:val="center"/>
          </w:tcPr>
          <w:p>
            <w:pPr>
              <w:pStyle w:val="TableContents"/>
              <w:bidi w:val="0"/>
              <w:spacing w:before="0" w:after="283"/>
              <w:jc w:val="left"/>
              <w:rPr/>
            </w:pPr>
            <w:r>
              <w:rPr/>
              <w:t> </w:t>
            </w:r>
          </w:p>
        </w:tc>
        <w:tc>
          <w:tcPr>
            <w:tcW w:w="1434"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93" w:type="dxa"/>
            <w:tcBorders/>
            <w:shd w:fill="CCEEFF" w:val="clear"/>
            <w:tcMar>
              <w:bottom w:w="0" w:type="dxa"/>
            </w:tcMar>
            <w:vAlign w:val="center"/>
          </w:tcPr>
          <w:p>
            <w:pPr>
              <w:pStyle w:val="TableContents"/>
              <w:bidi w:val="0"/>
              <w:spacing w:before="0" w:after="283"/>
              <w:jc w:val="left"/>
              <w:rPr/>
            </w:pPr>
            <w:r>
              <w:rPr/>
              <w:t> </w:t>
            </w:r>
          </w:p>
        </w:tc>
        <w:tc>
          <w:tcPr>
            <w:tcW w:w="919"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1" w:type="dxa"/>
            <w:tcBorders/>
            <w:shd w:fill="CCEEFF" w:val="clear"/>
            <w:tcMar>
              <w:bottom w:w="0" w:type="dxa"/>
            </w:tcMar>
            <w:vAlign w:val="center"/>
          </w:tcPr>
          <w:p>
            <w:pPr>
              <w:pStyle w:val="TableContents"/>
              <w:bidi w:val="0"/>
              <w:spacing w:before="0" w:after="283"/>
              <w:jc w:val="left"/>
              <w:rPr/>
            </w:pPr>
            <w:r>
              <w:rPr/>
              <w:t> </w:t>
            </w:r>
          </w:p>
        </w:tc>
      </w:tr>
      <w:tr>
        <w:trPr/>
        <w:tc>
          <w:tcPr>
            <w:tcW w:w="1822"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FCPI Amundi Avenir Innovation</w:t>
            </w:r>
            <w:r>
              <w:rPr>
                <w:rFonts w:ascii="Times New Roman;Times;Serif" w:hAnsi="Times New Roman;Times;Serif"/>
                <w:position w:val="7"/>
                <w:sz w:val="16"/>
                <w:sz w:val="20"/>
              </w:rPr>
              <w:t>(14)</w:t>
            </w:r>
          </w:p>
        </w:tc>
        <w:tc>
          <w:tcPr>
            <w:tcW w:w="60" w:type="dxa"/>
            <w:tcBorders/>
            <w:shd w:fill="FFFFFF" w:val="clear"/>
            <w:tcMar>
              <w:bottom w:w="0" w:type="dxa"/>
            </w:tcMar>
            <w:vAlign w:val="center"/>
          </w:tcPr>
          <w:p>
            <w:pPr>
              <w:pStyle w:val="TableContents"/>
              <w:bidi w:val="0"/>
              <w:spacing w:before="0" w:after="283"/>
              <w:jc w:val="left"/>
              <w:rPr/>
            </w:pPr>
            <w:r>
              <w:rPr/>
              <w:t> </w:t>
            </w:r>
          </w:p>
        </w:tc>
        <w:tc>
          <w:tcPr>
            <w:tcW w:w="85" w:type="dxa"/>
            <w:tcBorders/>
            <w:shd w:fill="FFFFFF" w:val="clear"/>
            <w:tcMar>
              <w:bottom w:w="0" w:type="dxa"/>
            </w:tcMar>
            <w:vAlign w:val="center"/>
          </w:tcPr>
          <w:p>
            <w:pPr>
              <w:pStyle w:val="TableContents"/>
              <w:bidi w:val="0"/>
              <w:spacing w:before="0" w:after="283"/>
              <w:jc w:val="left"/>
              <w:rPr/>
            </w:pPr>
            <w:r>
              <w:rPr/>
              <w:t> </w:t>
            </w:r>
          </w:p>
        </w:tc>
        <w:tc>
          <w:tcPr>
            <w:tcW w:w="1396"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63,728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8" w:type="dxa"/>
            <w:tcBorders/>
            <w:shd w:fill="FFFFFF" w:val="clear"/>
            <w:tcMar>
              <w:bottom w:w="0" w:type="dxa"/>
            </w:tcMar>
            <w:vAlign w:val="center"/>
          </w:tcPr>
          <w:p>
            <w:pPr>
              <w:pStyle w:val="TableContents"/>
              <w:bidi w:val="0"/>
              <w:spacing w:before="0" w:after="283"/>
              <w:jc w:val="left"/>
              <w:rPr/>
            </w:pPr>
            <w:r>
              <w:rPr/>
              <w:t> </w:t>
            </w:r>
          </w:p>
        </w:tc>
        <w:tc>
          <w:tcPr>
            <w:tcW w:w="1168"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9" w:type="dxa"/>
            <w:tcBorders/>
            <w:shd w:fill="FFFFFF" w:val="clear"/>
            <w:tcMar>
              <w:bottom w:w="0" w:type="dxa"/>
            </w:tcMar>
            <w:vAlign w:val="center"/>
          </w:tcPr>
          <w:p>
            <w:pPr>
              <w:pStyle w:val="TableContents"/>
              <w:bidi w:val="0"/>
              <w:spacing w:before="0" w:after="283"/>
              <w:jc w:val="left"/>
              <w:rPr/>
            </w:pPr>
            <w:r>
              <w:rPr/>
              <w:t> </w:t>
            </w:r>
          </w:p>
        </w:tc>
        <w:tc>
          <w:tcPr>
            <w:tcW w:w="1792"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415,425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3" w:type="dxa"/>
            <w:tcBorders/>
            <w:shd w:fill="FFFFFF" w:val="clear"/>
            <w:tcMar>
              <w:bottom w:w="0" w:type="dxa"/>
            </w:tcMar>
            <w:vAlign w:val="center"/>
          </w:tcPr>
          <w:p>
            <w:pPr>
              <w:pStyle w:val="TableContents"/>
              <w:bidi w:val="0"/>
              <w:spacing w:before="0" w:after="283"/>
              <w:jc w:val="left"/>
              <w:rPr/>
            </w:pPr>
            <w:r>
              <w:rPr/>
              <w:t> </w:t>
            </w:r>
          </w:p>
        </w:tc>
        <w:tc>
          <w:tcPr>
            <w:tcW w:w="1434"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93" w:type="dxa"/>
            <w:tcBorders/>
            <w:shd w:fill="FFFFFF" w:val="clear"/>
            <w:tcMar>
              <w:bottom w:w="0" w:type="dxa"/>
            </w:tcMar>
            <w:vAlign w:val="center"/>
          </w:tcPr>
          <w:p>
            <w:pPr>
              <w:pStyle w:val="TableContents"/>
              <w:bidi w:val="0"/>
              <w:spacing w:before="0" w:after="283"/>
              <w:jc w:val="left"/>
              <w:rPr/>
            </w:pPr>
            <w:r>
              <w:rPr/>
              <w:t> </w:t>
            </w:r>
          </w:p>
        </w:tc>
        <w:tc>
          <w:tcPr>
            <w:tcW w:w="919"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1" w:type="dxa"/>
            <w:tcBorders/>
            <w:shd w:fill="FFFFFF" w:val="clear"/>
            <w:tcMar>
              <w:bottom w:w="0" w:type="dxa"/>
            </w:tcMar>
            <w:vAlign w:val="center"/>
          </w:tcPr>
          <w:p>
            <w:pPr>
              <w:pStyle w:val="TableContents"/>
              <w:bidi w:val="0"/>
              <w:spacing w:before="0" w:after="283"/>
              <w:jc w:val="left"/>
              <w:rPr/>
            </w:pPr>
            <w:r>
              <w:rPr/>
              <w:t> </w:t>
            </w:r>
          </w:p>
        </w:tc>
      </w:tr>
      <w:tr>
        <w:trPr/>
        <w:tc>
          <w:tcPr>
            <w:tcW w:w="1822"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FCPI Go Capital Amorcage</w:t>
            </w:r>
            <w:r>
              <w:rPr>
                <w:rFonts w:ascii="Times New Roman;Times;Serif" w:hAnsi="Times New Roman;Times;Serif"/>
                <w:position w:val="7"/>
                <w:sz w:val="16"/>
                <w:sz w:val="20"/>
              </w:rPr>
              <w:t>(15)</w:t>
            </w:r>
          </w:p>
        </w:tc>
        <w:tc>
          <w:tcPr>
            <w:tcW w:w="60" w:type="dxa"/>
            <w:tcBorders/>
            <w:shd w:fill="CCEEFF" w:val="clear"/>
            <w:tcMar>
              <w:bottom w:w="0" w:type="dxa"/>
            </w:tcMar>
            <w:vAlign w:val="center"/>
          </w:tcPr>
          <w:p>
            <w:pPr>
              <w:pStyle w:val="TableContents"/>
              <w:bidi w:val="0"/>
              <w:spacing w:before="0" w:after="283"/>
              <w:jc w:val="left"/>
              <w:rPr/>
            </w:pPr>
            <w:r>
              <w:rPr/>
              <w:t> </w:t>
            </w:r>
          </w:p>
        </w:tc>
        <w:tc>
          <w:tcPr>
            <w:tcW w:w="85" w:type="dxa"/>
            <w:tcBorders/>
            <w:shd w:fill="CCEEFF" w:val="clear"/>
            <w:tcMar>
              <w:bottom w:w="0" w:type="dxa"/>
            </w:tcMar>
            <w:vAlign w:val="center"/>
          </w:tcPr>
          <w:p>
            <w:pPr>
              <w:pStyle w:val="TableContents"/>
              <w:bidi w:val="0"/>
              <w:spacing w:before="0" w:after="283"/>
              <w:jc w:val="left"/>
              <w:rPr/>
            </w:pPr>
            <w:r>
              <w:rPr/>
              <w:t> </w:t>
            </w:r>
          </w:p>
        </w:tc>
        <w:tc>
          <w:tcPr>
            <w:tcW w:w="1396"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19,045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8" w:type="dxa"/>
            <w:tcBorders/>
            <w:shd w:fill="CCEEFF" w:val="clear"/>
            <w:tcMar>
              <w:bottom w:w="0" w:type="dxa"/>
            </w:tcMar>
            <w:vAlign w:val="center"/>
          </w:tcPr>
          <w:p>
            <w:pPr>
              <w:pStyle w:val="TableContents"/>
              <w:bidi w:val="0"/>
              <w:spacing w:before="0" w:after="283"/>
              <w:jc w:val="left"/>
              <w:rPr/>
            </w:pPr>
            <w:r>
              <w:rPr/>
              <w:t> </w:t>
            </w:r>
          </w:p>
        </w:tc>
        <w:tc>
          <w:tcPr>
            <w:tcW w:w="1168"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9" w:type="dxa"/>
            <w:tcBorders/>
            <w:shd w:fill="CCEEFF" w:val="clear"/>
            <w:tcMar>
              <w:bottom w:w="0" w:type="dxa"/>
            </w:tcMar>
            <w:vAlign w:val="center"/>
          </w:tcPr>
          <w:p>
            <w:pPr>
              <w:pStyle w:val="TableContents"/>
              <w:bidi w:val="0"/>
              <w:spacing w:before="0" w:after="283"/>
              <w:jc w:val="left"/>
              <w:rPr/>
            </w:pPr>
            <w:r>
              <w:rPr/>
              <w:t> </w:t>
            </w:r>
          </w:p>
        </w:tc>
        <w:tc>
          <w:tcPr>
            <w:tcW w:w="1792"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123,058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3" w:type="dxa"/>
            <w:tcBorders/>
            <w:shd w:fill="CCEEFF" w:val="clear"/>
            <w:tcMar>
              <w:bottom w:w="0" w:type="dxa"/>
            </w:tcMar>
            <w:vAlign w:val="center"/>
          </w:tcPr>
          <w:p>
            <w:pPr>
              <w:pStyle w:val="TableContents"/>
              <w:bidi w:val="0"/>
              <w:spacing w:before="0" w:after="283"/>
              <w:jc w:val="left"/>
              <w:rPr/>
            </w:pPr>
            <w:r>
              <w:rPr/>
              <w:t> </w:t>
            </w:r>
          </w:p>
        </w:tc>
        <w:tc>
          <w:tcPr>
            <w:tcW w:w="1434"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93" w:type="dxa"/>
            <w:tcBorders/>
            <w:shd w:fill="CCEEFF" w:val="clear"/>
            <w:tcMar>
              <w:bottom w:w="0" w:type="dxa"/>
            </w:tcMar>
            <w:vAlign w:val="center"/>
          </w:tcPr>
          <w:p>
            <w:pPr>
              <w:pStyle w:val="TableContents"/>
              <w:bidi w:val="0"/>
              <w:spacing w:before="0" w:after="283"/>
              <w:jc w:val="left"/>
              <w:rPr/>
            </w:pPr>
            <w:r>
              <w:rPr/>
              <w:t> </w:t>
            </w:r>
          </w:p>
        </w:tc>
        <w:tc>
          <w:tcPr>
            <w:tcW w:w="919"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1" w:type="dxa"/>
            <w:tcBorders/>
            <w:shd w:fill="CCEEFF" w:val="clear"/>
            <w:tcMar>
              <w:bottom w:w="0" w:type="dxa"/>
            </w:tcMar>
            <w:vAlign w:val="center"/>
          </w:tcPr>
          <w:p>
            <w:pPr>
              <w:pStyle w:val="TableContents"/>
              <w:bidi w:val="0"/>
              <w:spacing w:before="0" w:after="283"/>
              <w:jc w:val="left"/>
              <w:rPr/>
            </w:pPr>
            <w:r>
              <w:rPr/>
              <w:t> </w:t>
            </w:r>
          </w:p>
        </w:tc>
      </w:tr>
      <w:tr>
        <w:trPr/>
        <w:tc>
          <w:tcPr>
            <w:tcW w:w="1822"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FCPI Santé et Digital</w:t>
            </w:r>
            <w:r>
              <w:rPr>
                <w:rFonts w:ascii="Times New Roman;Times;Serif" w:hAnsi="Times New Roman;Times;Serif"/>
                <w:position w:val="7"/>
                <w:sz w:val="16"/>
                <w:sz w:val="20"/>
              </w:rPr>
              <w:t>(16)</w:t>
            </w:r>
          </w:p>
        </w:tc>
        <w:tc>
          <w:tcPr>
            <w:tcW w:w="60" w:type="dxa"/>
            <w:tcBorders/>
            <w:shd w:fill="FFFFFF" w:val="clear"/>
            <w:tcMar>
              <w:bottom w:w="0" w:type="dxa"/>
            </w:tcMar>
            <w:vAlign w:val="center"/>
          </w:tcPr>
          <w:p>
            <w:pPr>
              <w:pStyle w:val="TableContents"/>
              <w:bidi w:val="0"/>
              <w:spacing w:before="0" w:after="283"/>
              <w:jc w:val="left"/>
              <w:rPr/>
            </w:pPr>
            <w:r>
              <w:rPr/>
              <w:t> </w:t>
            </w:r>
          </w:p>
        </w:tc>
        <w:tc>
          <w:tcPr>
            <w:tcW w:w="85" w:type="dxa"/>
            <w:tcBorders/>
            <w:shd w:fill="FFFFFF" w:val="clear"/>
            <w:tcMar>
              <w:bottom w:w="0" w:type="dxa"/>
            </w:tcMar>
            <w:vAlign w:val="center"/>
          </w:tcPr>
          <w:p>
            <w:pPr>
              <w:pStyle w:val="TableContents"/>
              <w:bidi w:val="0"/>
              <w:spacing w:before="0" w:after="283"/>
              <w:jc w:val="left"/>
              <w:rPr/>
            </w:pPr>
            <w:r>
              <w:rPr/>
              <w:t> </w:t>
            </w:r>
          </w:p>
        </w:tc>
        <w:tc>
          <w:tcPr>
            <w:tcW w:w="1396"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41,850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8" w:type="dxa"/>
            <w:tcBorders/>
            <w:shd w:fill="FFFFFF" w:val="clear"/>
            <w:tcMar>
              <w:bottom w:w="0" w:type="dxa"/>
            </w:tcMar>
            <w:vAlign w:val="center"/>
          </w:tcPr>
          <w:p>
            <w:pPr>
              <w:pStyle w:val="TableContents"/>
              <w:bidi w:val="0"/>
              <w:spacing w:before="0" w:after="283"/>
              <w:jc w:val="left"/>
              <w:rPr/>
            </w:pPr>
            <w:r>
              <w:rPr/>
              <w:t> </w:t>
            </w:r>
          </w:p>
        </w:tc>
        <w:tc>
          <w:tcPr>
            <w:tcW w:w="1168"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9" w:type="dxa"/>
            <w:tcBorders/>
            <w:shd w:fill="FFFFFF" w:val="clear"/>
            <w:tcMar>
              <w:bottom w:w="0" w:type="dxa"/>
            </w:tcMar>
            <w:vAlign w:val="center"/>
          </w:tcPr>
          <w:p>
            <w:pPr>
              <w:pStyle w:val="TableContents"/>
              <w:bidi w:val="0"/>
              <w:spacing w:before="0" w:after="283"/>
              <w:jc w:val="left"/>
              <w:rPr/>
            </w:pPr>
            <w:r>
              <w:rPr/>
              <w:t> </w:t>
            </w:r>
          </w:p>
        </w:tc>
        <w:tc>
          <w:tcPr>
            <w:tcW w:w="1792"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272,809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3" w:type="dxa"/>
            <w:tcBorders/>
            <w:shd w:fill="FFFFFF" w:val="clear"/>
            <w:tcMar>
              <w:bottom w:w="0" w:type="dxa"/>
            </w:tcMar>
            <w:vAlign w:val="center"/>
          </w:tcPr>
          <w:p>
            <w:pPr>
              <w:pStyle w:val="TableContents"/>
              <w:bidi w:val="0"/>
              <w:spacing w:before="0" w:after="283"/>
              <w:jc w:val="left"/>
              <w:rPr/>
            </w:pPr>
            <w:r>
              <w:rPr/>
              <w:t> </w:t>
            </w:r>
          </w:p>
        </w:tc>
        <w:tc>
          <w:tcPr>
            <w:tcW w:w="1434"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93" w:type="dxa"/>
            <w:tcBorders/>
            <w:shd w:fill="FFFFFF" w:val="clear"/>
            <w:tcMar>
              <w:bottom w:w="0" w:type="dxa"/>
            </w:tcMar>
            <w:vAlign w:val="center"/>
          </w:tcPr>
          <w:p>
            <w:pPr>
              <w:pStyle w:val="TableContents"/>
              <w:bidi w:val="0"/>
              <w:spacing w:before="0" w:after="283"/>
              <w:jc w:val="left"/>
              <w:rPr/>
            </w:pPr>
            <w:r>
              <w:rPr/>
              <w:t> </w:t>
            </w:r>
          </w:p>
        </w:tc>
        <w:tc>
          <w:tcPr>
            <w:tcW w:w="919"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1" w:type="dxa"/>
            <w:tcBorders/>
            <w:shd w:fill="FFFFFF" w:val="clear"/>
            <w:tcMar>
              <w:bottom w:w="0" w:type="dxa"/>
            </w:tcMar>
            <w:vAlign w:val="center"/>
          </w:tcPr>
          <w:p>
            <w:pPr>
              <w:pStyle w:val="TableContents"/>
              <w:bidi w:val="0"/>
              <w:spacing w:before="0" w:after="283"/>
              <w:jc w:val="left"/>
              <w:rPr/>
            </w:pPr>
            <w:r>
              <w:rPr/>
              <w:t> </w:t>
            </w:r>
          </w:p>
        </w:tc>
      </w:tr>
      <w:tr>
        <w:trPr/>
        <w:tc>
          <w:tcPr>
            <w:tcW w:w="1822"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FCPI Santé et Digital II</w:t>
            </w:r>
            <w:r>
              <w:rPr>
                <w:rFonts w:ascii="Times New Roman;Times;Serif" w:hAnsi="Times New Roman;Times;Serif"/>
                <w:position w:val="7"/>
                <w:sz w:val="16"/>
                <w:sz w:val="20"/>
              </w:rPr>
              <w:t>(17)</w:t>
            </w:r>
          </w:p>
        </w:tc>
        <w:tc>
          <w:tcPr>
            <w:tcW w:w="60" w:type="dxa"/>
            <w:tcBorders/>
            <w:shd w:fill="CCEEFF" w:val="clear"/>
            <w:tcMar>
              <w:bottom w:w="0" w:type="dxa"/>
            </w:tcMar>
            <w:vAlign w:val="center"/>
          </w:tcPr>
          <w:p>
            <w:pPr>
              <w:pStyle w:val="TableContents"/>
              <w:bidi w:val="0"/>
              <w:spacing w:before="0" w:after="283"/>
              <w:jc w:val="left"/>
              <w:rPr/>
            </w:pPr>
            <w:r>
              <w:rPr/>
              <w:t> </w:t>
            </w:r>
          </w:p>
        </w:tc>
        <w:tc>
          <w:tcPr>
            <w:tcW w:w="85" w:type="dxa"/>
            <w:tcBorders/>
            <w:shd w:fill="CCEEFF" w:val="clear"/>
            <w:tcMar>
              <w:bottom w:w="0" w:type="dxa"/>
            </w:tcMar>
            <w:vAlign w:val="center"/>
          </w:tcPr>
          <w:p>
            <w:pPr>
              <w:pStyle w:val="TableContents"/>
              <w:bidi w:val="0"/>
              <w:spacing w:before="0" w:after="283"/>
              <w:jc w:val="left"/>
              <w:rPr/>
            </w:pPr>
            <w:r>
              <w:rPr/>
              <w:t> </w:t>
            </w:r>
          </w:p>
        </w:tc>
        <w:tc>
          <w:tcPr>
            <w:tcW w:w="1396"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17,667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8" w:type="dxa"/>
            <w:tcBorders/>
            <w:shd w:fill="CCEEFF" w:val="clear"/>
            <w:tcMar>
              <w:bottom w:w="0" w:type="dxa"/>
            </w:tcMar>
            <w:vAlign w:val="center"/>
          </w:tcPr>
          <w:p>
            <w:pPr>
              <w:pStyle w:val="TableContents"/>
              <w:bidi w:val="0"/>
              <w:spacing w:before="0" w:after="283"/>
              <w:jc w:val="left"/>
              <w:rPr/>
            </w:pPr>
            <w:r>
              <w:rPr/>
              <w:t> </w:t>
            </w:r>
          </w:p>
        </w:tc>
        <w:tc>
          <w:tcPr>
            <w:tcW w:w="1168"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9" w:type="dxa"/>
            <w:tcBorders/>
            <w:shd w:fill="CCEEFF" w:val="clear"/>
            <w:tcMar>
              <w:bottom w:w="0" w:type="dxa"/>
            </w:tcMar>
            <w:vAlign w:val="center"/>
          </w:tcPr>
          <w:p>
            <w:pPr>
              <w:pStyle w:val="TableContents"/>
              <w:bidi w:val="0"/>
              <w:spacing w:before="0" w:after="283"/>
              <w:jc w:val="left"/>
              <w:rPr/>
            </w:pPr>
            <w:r>
              <w:rPr/>
              <w:t> </w:t>
            </w:r>
          </w:p>
        </w:tc>
        <w:tc>
          <w:tcPr>
            <w:tcW w:w="1792"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115,170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3" w:type="dxa"/>
            <w:tcBorders/>
            <w:shd w:fill="CCEEFF" w:val="clear"/>
            <w:tcMar>
              <w:bottom w:w="0" w:type="dxa"/>
            </w:tcMar>
            <w:vAlign w:val="center"/>
          </w:tcPr>
          <w:p>
            <w:pPr>
              <w:pStyle w:val="TableContents"/>
              <w:bidi w:val="0"/>
              <w:spacing w:before="0" w:after="283"/>
              <w:jc w:val="left"/>
              <w:rPr/>
            </w:pPr>
            <w:r>
              <w:rPr/>
              <w:t> </w:t>
            </w:r>
          </w:p>
        </w:tc>
        <w:tc>
          <w:tcPr>
            <w:tcW w:w="1434"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93" w:type="dxa"/>
            <w:tcBorders/>
            <w:shd w:fill="CCEEFF" w:val="clear"/>
            <w:tcMar>
              <w:bottom w:w="0" w:type="dxa"/>
            </w:tcMar>
            <w:vAlign w:val="center"/>
          </w:tcPr>
          <w:p>
            <w:pPr>
              <w:pStyle w:val="TableContents"/>
              <w:bidi w:val="0"/>
              <w:spacing w:before="0" w:after="283"/>
              <w:jc w:val="left"/>
              <w:rPr/>
            </w:pPr>
            <w:r>
              <w:rPr/>
              <w:t> </w:t>
            </w:r>
          </w:p>
        </w:tc>
        <w:tc>
          <w:tcPr>
            <w:tcW w:w="919"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1" w:type="dxa"/>
            <w:tcBorders/>
            <w:shd w:fill="CCEEFF" w:val="clear"/>
            <w:tcMar>
              <w:bottom w:w="0" w:type="dxa"/>
            </w:tcMar>
            <w:vAlign w:val="center"/>
          </w:tcPr>
          <w:p>
            <w:pPr>
              <w:pStyle w:val="TableContents"/>
              <w:bidi w:val="0"/>
              <w:spacing w:before="0" w:after="283"/>
              <w:jc w:val="left"/>
              <w:rPr/>
            </w:pPr>
            <w:r>
              <w:rPr/>
              <w:t> </w:t>
            </w:r>
          </w:p>
        </w:tc>
      </w:tr>
      <w:tr>
        <w:trPr/>
        <w:tc>
          <w:tcPr>
            <w:tcW w:w="1822"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FCPR W PME Multistratégies</w:t>
            </w:r>
            <w:r>
              <w:rPr>
                <w:rFonts w:ascii="Times New Roman;Times;Serif" w:hAnsi="Times New Roman;Times;Serif"/>
                <w:position w:val="7"/>
                <w:sz w:val="16"/>
                <w:sz w:val="20"/>
              </w:rPr>
              <w:t>(18)</w:t>
            </w:r>
          </w:p>
        </w:tc>
        <w:tc>
          <w:tcPr>
            <w:tcW w:w="60" w:type="dxa"/>
            <w:tcBorders/>
            <w:shd w:fill="FFFFFF" w:val="clear"/>
            <w:tcMar>
              <w:bottom w:w="0" w:type="dxa"/>
            </w:tcMar>
            <w:vAlign w:val="center"/>
          </w:tcPr>
          <w:p>
            <w:pPr>
              <w:pStyle w:val="TableContents"/>
              <w:bidi w:val="0"/>
              <w:spacing w:before="0" w:after="283"/>
              <w:jc w:val="left"/>
              <w:rPr/>
            </w:pPr>
            <w:r>
              <w:rPr/>
              <w:t> </w:t>
            </w:r>
          </w:p>
        </w:tc>
        <w:tc>
          <w:tcPr>
            <w:tcW w:w="85" w:type="dxa"/>
            <w:tcBorders/>
            <w:shd w:fill="FFFFFF" w:val="clear"/>
            <w:tcMar>
              <w:bottom w:w="0" w:type="dxa"/>
            </w:tcMar>
            <w:vAlign w:val="center"/>
          </w:tcPr>
          <w:p>
            <w:pPr>
              <w:pStyle w:val="TableContents"/>
              <w:bidi w:val="0"/>
              <w:spacing w:before="0" w:after="283"/>
              <w:jc w:val="left"/>
              <w:rPr/>
            </w:pPr>
            <w:r>
              <w:rPr/>
              <w:t> </w:t>
            </w:r>
          </w:p>
        </w:tc>
        <w:tc>
          <w:tcPr>
            <w:tcW w:w="1396"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6,590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8" w:type="dxa"/>
            <w:tcBorders/>
            <w:shd w:fill="FFFFFF" w:val="clear"/>
            <w:tcMar>
              <w:bottom w:w="0" w:type="dxa"/>
            </w:tcMar>
            <w:vAlign w:val="center"/>
          </w:tcPr>
          <w:p>
            <w:pPr>
              <w:pStyle w:val="TableContents"/>
              <w:bidi w:val="0"/>
              <w:spacing w:before="0" w:after="283"/>
              <w:jc w:val="left"/>
              <w:rPr/>
            </w:pPr>
            <w:r>
              <w:rPr/>
              <w:t> </w:t>
            </w:r>
          </w:p>
        </w:tc>
        <w:tc>
          <w:tcPr>
            <w:tcW w:w="1168"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9" w:type="dxa"/>
            <w:tcBorders/>
            <w:shd w:fill="FFFFFF" w:val="clear"/>
            <w:tcMar>
              <w:bottom w:w="0" w:type="dxa"/>
            </w:tcMar>
            <w:vAlign w:val="center"/>
          </w:tcPr>
          <w:p>
            <w:pPr>
              <w:pStyle w:val="TableContents"/>
              <w:bidi w:val="0"/>
              <w:spacing w:before="0" w:after="283"/>
              <w:jc w:val="left"/>
              <w:rPr/>
            </w:pPr>
            <w:r>
              <w:rPr/>
              <w:t> </w:t>
            </w:r>
          </w:p>
        </w:tc>
        <w:tc>
          <w:tcPr>
            <w:tcW w:w="1792"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42,957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3" w:type="dxa"/>
            <w:tcBorders/>
            <w:shd w:fill="FFFFFF" w:val="clear"/>
            <w:tcMar>
              <w:bottom w:w="0" w:type="dxa"/>
            </w:tcMar>
            <w:vAlign w:val="center"/>
          </w:tcPr>
          <w:p>
            <w:pPr>
              <w:pStyle w:val="TableContents"/>
              <w:bidi w:val="0"/>
              <w:spacing w:before="0" w:after="283"/>
              <w:jc w:val="left"/>
              <w:rPr/>
            </w:pPr>
            <w:r>
              <w:rPr/>
              <w:t> </w:t>
            </w:r>
          </w:p>
        </w:tc>
        <w:tc>
          <w:tcPr>
            <w:tcW w:w="1434"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93" w:type="dxa"/>
            <w:tcBorders/>
            <w:shd w:fill="FFFFFF" w:val="clear"/>
            <w:tcMar>
              <w:bottom w:w="0" w:type="dxa"/>
            </w:tcMar>
            <w:vAlign w:val="center"/>
          </w:tcPr>
          <w:p>
            <w:pPr>
              <w:pStyle w:val="TableContents"/>
              <w:bidi w:val="0"/>
              <w:spacing w:before="0" w:after="283"/>
              <w:jc w:val="left"/>
              <w:rPr/>
            </w:pPr>
            <w:r>
              <w:rPr/>
              <w:t> </w:t>
            </w:r>
          </w:p>
        </w:tc>
        <w:tc>
          <w:tcPr>
            <w:tcW w:w="919"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1" w:type="dxa"/>
            <w:tcBorders/>
            <w:shd w:fill="FFFFFF" w:val="clear"/>
            <w:tcMar>
              <w:bottom w:w="0" w:type="dxa"/>
            </w:tcMar>
            <w:vAlign w:val="center"/>
          </w:tcPr>
          <w:p>
            <w:pPr>
              <w:pStyle w:val="TableContents"/>
              <w:bidi w:val="0"/>
              <w:spacing w:before="0" w:after="283"/>
              <w:jc w:val="left"/>
              <w:rPr/>
            </w:pPr>
            <w:r>
              <w:rPr/>
              <w:t> </w:t>
            </w:r>
          </w:p>
        </w:tc>
      </w:tr>
      <w:tr>
        <w:trPr/>
        <w:tc>
          <w:tcPr>
            <w:tcW w:w="1822"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Financiere Furstenfeld </w:t>
            </w:r>
            <w:r>
              <w:rPr>
                <w:rFonts w:ascii="Times New Roman;Times;Serif" w:hAnsi="Times New Roman;Times;Serif"/>
                <w:position w:val="7"/>
                <w:sz w:val="16"/>
                <w:sz w:val="20"/>
              </w:rPr>
              <w:t>(19)</w:t>
            </w:r>
          </w:p>
        </w:tc>
        <w:tc>
          <w:tcPr>
            <w:tcW w:w="60" w:type="dxa"/>
            <w:tcBorders/>
            <w:shd w:fill="CCEEFF" w:val="clear"/>
            <w:tcMar>
              <w:bottom w:w="0" w:type="dxa"/>
            </w:tcMar>
            <w:vAlign w:val="center"/>
          </w:tcPr>
          <w:p>
            <w:pPr>
              <w:pStyle w:val="TableContents"/>
              <w:bidi w:val="0"/>
              <w:spacing w:before="0" w:after="283"/>
              <w:jc w:val="left"/>
              <w:rPr/>
            </w:pPr>
            <w:r>
              <w:rPr/>
              <w:t> </w:t>
            </w:r>
          </w:p>
        </w:tc>
        <w:tc>
          <w:tcPr>
            <w:tcW w:w="85" w:type="dxa"/>
            <w:tcBorders/>
            <w:shd w:fill="CCEEFF" w:val="clear"/>
            <w:tcMar>
              <w:bottom w:w="0" w:type="dxa"/>
            </w:tcMar>
            <w:vAlign w:val="center"/>
          </w:tcPr>
          <w:p>
            <w:pPr>
              <w:pStyle w:val="TableContents"/>
              <w:bidi w:val="0"/>
              <w:spacing w:before="0" w:after="283"/>
              <w:jc w:val="left"/>
              <w:rPr/>
            </w:pPr>
            <w:r>
              <w:rPr/>
              <w:t> </w:t>
            </w:r>
          </w:p>
        </w:tc>
        <w:tc>
          <w:tcPr>
            <w:tcW w:w="1396"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8" w:type="dxa"/>
            <w:tcBorders/>
            <w:shd w:fill="CCEEFF" w:val="clear"/>
            <w:tcMar>
              <w:bottom w:w="0" w:type="dxa"/>
            </w:tcMar>
            <w:vAlign w:val="center"/>
          </w:tcPr>
          <w:p>
            <w:pPr>
              <w:pStyle w:val="TableContents"/>
              <w:bidi w:val="0"/>
              <w:spacing w:before="0" w:after="283"/>
              <w:jc w:val="left"/>
              <w:rPr/>
            </w:pPr>
            <w:r>
              <w:rPr/>
              <w:t> </w:t>
            </w:r>
          </w:p>
        </w:tc>
        <w:tc>
          <w:tcPr>
            <w:tcW w:w="1168"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9" w:type="dxa"/>
            <w:tcBorders/>
            <w:shd w:fill="CCEEFF" w:val="clear"/>
            <w:tcMar>
              <w:bottom w:w="0" w:type="dxa"/>
            </w:tcMar>
            <w:vAlign w:val="center"/>
          </w:tcPr>
          <w:p>
            <w:pPr>
              <w:pStyle w:val="TableContents"/>
              <w:bidi w:val="0"/>
              <w:spacing w:before="0" w:after="283"/>
              <w:jc w:val="left"/>
              <w:rPr/>
            </w:pPr>
            <w:r>
              <w:rPr/>
              <w:t> </w:t>
            </w:r>
          </w:p>
        </w:tc>
        <w:tc>
          <w:tcPr>
            <w:tcW w:w="1792"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3" w:type="dxa"/>
            <w:tcBorders/>
            <w:shd w:fill="CCEEFF" w:val="clear"/>
            <w:tcMar>
              <w:bottom w:w="0" w:type="dxa"/>
            </w:tcMar>
            <w:vAlign w:val="center"/>
          </w:tcPr>
          <w:p>
            <w:pPr>
              <w:pStyle w:val="TableContents"/>
              <w:bidi w:val="0"/>
              <w:spacing w:before="0" w:after="283"/>
              <w:jc w:val="left"/>
              <w:rPr/>
            </w:pPr>
            <w:r>
              <w:rPr/>
              <w:t> </w:t>
            </w:r>
          </w:p>
        </w:tc>
        <w:tc>
          <w:tcPr>
            <w:tcW w:w="1434"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93" w:type="dxa"/>
            <w:tcBorders/>
            <w:shd w:fill="CCEEFF" w:val="clear"/>
            <w:tcMar>
              <w:bottom w:w="0" w:type="dxa"/>
            </w:tcMar>
            <w:vAlign w:val="center"/>
          </w:tcPr>
          <w:p>
            <w:pPr>
              <w:pStyle w:val="TableContents"/>
              <w:bidi w:val="0"/>
              <w:spacing w:before="0" w:after="283"/>
              <w:jc w:val="left"/>
              <w:rPr/>
            </w:pPr>
            <w:r>
              <w:rPr/>
              <w:t> </w:t>
            </w:r>
          </w:p>
        </w:tc>
        <w:tc>
          <w:tcPr>
            <w:tcW w:w="919"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1" w:type="dxa"/>
            <w:tcBorders/>
            <w:shd w:fill="CCEEFF" w:val="clear"/>
            <w:tcMar>
              <w:bottom w:w="0" w:type="dxa"/>
            </w:tcMar>
            <w:vAlign w:val="center"/>
          </w:tcPr>
          <w:p>
            <w:pPr>
              <w:pStyle w:val="TableContents"/>
              <w:bidi w:val="0"/>
              <w:spacing w:before="0" w:after="283"/>
              <w:jc w:val="left"/>
              <w:rPr/>
            </w:pPr>
            <w:r>
              <w:rPr/>
              <w:t> </w:t>
            </w:r>
          </w:p>
        </w:tc>
      </w:tr>
      <w:tr>
        <w:trPr/>
        <w:tc>
          <w:tcPr>
            <w:tcW w:w="1822"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Georgeault, Gerard</w:t>
            </w:r>
          </w:p>
        </w:tc>
        <w:tc>
          <w:tcPr>
            <w:tcW w:w="60" w:type="dxa"/>
            <w:tcBorders/>
            <w:shd w:fill="FFFFFF" w:val="clear"/>
            <w:tcMar>
              <w:bottom w:w="0" w:type="dxa"/>
            </w:tcMar>
            <w:vAlign w:val="center"/>
          </w:tcPr>
          <w:p>
            <w:pPr>
              <w:pStyle w:val="TableContents"/>
              <w:bidi w:val="0"/>
              <w:spacing w:before="0" w:after="283"/>
              <w:jc w:val="left"/>
              <w:rPr/>
            </w:pPr>
            <w:r>
              <w:rPr/>
              <w:t> </w:t>
            </w:r>
          </w:p>
        </w:tc>
        <w:tc>
          <w:tcPr>
            <w:tcW w:w="85" w:type="dxa"/>
            <w:tcBorders/>
            <w:shd w:fill="FFFFFF" w:val="clear"/>
            <w:tcMar>
              <w:bottom w:w="0" w:type="dxa"/>
            </w:tcMar>
            <w:vAlign w:val="center"/>
          </w:tcPr>
          <w:p>
            <w:pPr>
              <w:pStyle w:val="TableContents"/>
              <w:bidi w:val="0"/>
              <w:spacing w:before="0" w:after="283"/>
              <w:jc w:val="left"/>
              <w:rPr/>
            </w:pPr>
            <w:r>
              <w:rPr/>
              <w:t> </w:t>
            </w:r>
          </w:p>
        </w:tc>
        <w:tc>
          <w:tcPr>
            <w:tcW w:w="1396"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35,867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8" w:type="dxa"/>
            <w:tcBorders/>
            <w:shd w:fill="FFFFFF" w:val="clear"/>
            <w:tcMar>
              <w:bottom w:w="0" w:type="dxa"/>
            </w:tcMar>
            <w:vAlign w:val="center"/>
          </w:tcPr>
          <w:p>
            <w:pPr>
              <w:pStyle w:val="TableContents"/>
              <w:bidi w:val="0"/>
              <w:spacing w:before="0" w:after="283"/>
              <w:jc w:val="left"/>
              <w:rPr/>
            </w:pPr>
            <w:r>
              <w:rPr/>
              <w:t> </w:t>
            </w:r>
          </w:p>
        </w:tc>
        <w:tc>
          <w:tcPr>
            <w:tcW w:w="1168"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9" w:type="dxa"/>
            <w:tcBorders/>
            <w:shd w:fill="FFFFFF" w:val="clear"/>
            <w:tcMar>
              <w:bottom w:w="0" w:type="dxa"/>
            </w:tcMar>
            <w:vAlign w:val="center"/>
          </w:tcPr>
          <w:p>
            <w:pPr>
              <w:pStyle w:val="TableContents"/>
              <w:bidi w:val="0"/>
              <w:spacing w:before="0" w:after="283"/>
              <w:jc w:val="left"/>
              <w:rPr/>
            </w:pPr>
            <w:r>
              <w:rPr/>
              <w:t> </w:t>
            </w:r>
          </w:p>
        </w:tc>
        <w:tc>
          <w:tcPr>
            <w:tcW w:w="1792"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233,588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3" w:type="dxa"/>
            <w:tcBorders/>
            <w:shd w:fill="FFFFFF" w:val="clear"/>
            <w:tcMar>
              <w:bottom w:w="0" w:type="dxa"/>
            </w:tcMar>
            <w:vAlign w:val="center"/>
          </w:tcPr>
          <w:p>
            <w:pPr>
              <w:pStyle w:val="TableContents"/>
              <w:bidi w:val="0"/>
              <w:spacing w:before="0" w:after="283"/>
              <w:jc w:val="left"/>
              <w:rPr/>
            </w:pPr>
            <w:r>
              <w:rPr/>
              <w:t> </w:t>
            </w:r>
          </w:p>
        </w:tc>
        <w:tc>
          <w:tcPr>
            <w:tcW w:w="1434"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93" w:type="dxa"/>
            <w:tcBorders/>
            <w:shd w:fill="FFFFFF" w:val="clear"/>
            <w:tcMar>
              <w:bottom w:w="0" w:type="dxa"/>
            </w:tcMar>
            <w:vAlign w:val="center"/>
          </w:tcPr>
          <w:p>
            <w:pPr>
              <w:pStyle w:val="TableContents"/>
              <w:bidi w:val="0"/>
              <w:spacing w:before="0" w:after="283"/>
              <w:jc w:val="left"/>
              <w:rPr/>
            </w:pPr>
            <w:r>
              <w:rPr/>
              <w:t> </w:t>
            </w:r>
          </w:p>
        </w:tc>
        <w:tc>
          <w:tcPr>
            <w:tcW w:w="919"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1" w:type="dxa"/>
            <w:tcBorders/>
            <w:shd w:fill="FFFFFF" w:val="clear"/>
            <w:tcMar>
              <w:bottom w:w="0" w:type="dxa"/>
            </w:tcMar>
            <w:vAlign w:val="center"/>
          </w:tcPr>
          <w:p>
            <w:pPr>
              <w:pStyle w:val="TableContents"/>
              <w:bidi w:val="0"/>
              <w:spacing w:before="0" w:after="283"/>
              <w:jc w:val="left"/>
              <w:rPr/>
            </w:pPr>
            <w:r>
              <w:rPr/>
              <w:t> </w:t>
            </w:r>
          </w:p>
        </w:tc>
      </w:tr>
      <w:tr>
        <w:trPr/>
        <w:tc>
          <w:tcPr>
            <w:tcW w:w="1822"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JMJ</w:t>
            </w:r>
            <w:r>
              <w:rPr>
                <w:rFonts w:ascii="Times New Roman;Times;Serif" w:hAnsi="Times New Roman;Times;Serif"/>
                <w:position w:val="7"/>
                <w:sz w:val="16"/>
                <w:sz w:val="20"/>
              </w:rPr>
              <w:t>(20)</w:t>
            </w:r>
          </w:p>
        </w:tc>
        <w:tc>
          <w:tcPr>
            <w:tcW w:w="60" w:type="dxa"/>
            <w:tcBorders/>
            <w:shd w:fill="CCEEFF" w:val="clear"/>
            <w:tcMar>
              <w:bottom w:w="0" w:type="dxa"/>
            </w:tcMar>
            <w:vAlign w:val="center"/>
          </w:tcPr>
          <w:p>
            <w:pPr>
              <w:pStyle w:val="TableContents"/>
              <w:bidi w:val="0"/>
              <w:spacing w:before="0" w:after="283"/>
              <w:jc w:val="left"/>
              <w:rPr/>
            </w:pPr>
            <w:r>
              <w:rPr/>
              <w:t> </w:t>
            </w:r>
          </w:p>
        </w:tc>
        <w:tc>
          <w:tcPr>
            <w:tcW w:w="85" w:type="dxa"/>
            <w:tcBorders/>
            <w:shd w:fill="CCEEFF" w:val="clear"/>
            <w:tcMar>
              <w:bottom w:w="0" w:type="dxa"/>
            </w:tcMar>
            <w:vAlign w:val="center"/>
          </w:tcPr>
          <w:p>
            <w:pPr>
              <w:pStyle w:val="TableContents"/>
              <w:bidi w:val="0"/>
              <w:spacing w:before="0" w:after="283"/>
              <w:jc w:val="left"/>
              <w:rPr/>
            </w:pPr>
            <w:r>
              <w:rPr/>
              <w:t> </w:t>
            </w:r>
          </w:p>
        </w:tc>
        <w:tc>
          <w:tcPr>
            <w:tcW w:w="1396"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1,612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8" w:type="dxa"/>
            <w:tcBorders/>
            <w:shd w:fill="CCEEFF" w:val="clear"/>
            <w:tcMar>
              <w:bottom w:w="0" w:type="dxa"/>
            </w:tcMar>
            <w:vAlign w:val="center"/>
          </w:tcPr>
          <w:p>
            <w:pPr>
              <w:pStyle w:val="TableContents"/>
              <w:bidi w:val="0"/>
              <w:spacing w:before="0" w:after="283"/>
              <w:jc w:val="left"/>
              <w:rPr/>
            </w:pPr>
            <w:r>
              <w:rPr/>
              <w:t> </w:t>
            </w:r>
          </w:p>
        </w:tc>
        <w:tc>
          <w:tcPr>
            <w:tcW w:w="1168"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9" w:type="dxa"/>
            <w:tcBorders/>
            <w:shd w:fill="CCEEFF" w:val="clear"/>
            <w:tcMar>
              <w:bottom w:w="0" w:type="dxa"/>
            </w:tcMar>
            <w:vAlign w:val="center"/>
          </w:tcPr>
          <w:p>
            <w:pPr>
              <w:pStyle w:val="TableContents"/>
              <w:bidi w:val="0"/>
              <w:spacing w:before="0" w:after="283"/>
              <w:jc w:val="left"/>
              <w:rPr/>
            </w:pPr>
            <w:r>
              <w:rPr/>
              <w:t> </w:t>
            </w:r>
          </w:p>
        </w:tc>
        <w:tc>
          <w:tcPr>
            <w:tcW w:w="1792"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10,417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3" w:type="dxa"/>
            <w:tcBorders/>
            <w:shd w:fill="CCEEFF" w:val="clear"/>
            <w:tcMar>
              <w:bottom w:w="0" w:type="dxa"/>
            </w:tcMar>
            <w:vAlign w:val="center"/>
          </w:tcPr>
          <w:p>
            <w:pPr>
              <w:pStyle w:val="TableContents"/>
              <w:bidi w:val="0"/>
              <w:spacing w:before="0" w:after="283"/>
              <w:jc w:val="left"/>
              <w:rPr/>
            </w:pPr>
            <w:r>
              <w:rPr/>
              <w:t> </w:t>
            </w:r>
          </w:p>
        </w:tc>
        <w:tc>
          <w:tcPr>
            <w:tcW w:w="1434"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93" w:type="dxa"/>
            <w:tcBorders/>
            <w:shd w:fill="CCEEFF" w:val="clear"/>
            <w:tcMar>
              <w:bottom w:w="0" w:type="dxa"/>
            </w:tcMar>
            <w:vAlign w:val="center"/>
          </w:tcPr>
          <w:p>
            <w:pPr>
              <w:pStyle w:val="TableContents"/>
              <w:bidi w:val="0"/>
              <w:spacing w:before="0" w:after="283"/>
              <w:jc w:val="left"/>
              <w:rPr/>
            </w:pPr>
            <w:r>
              <w:rPr/>
              <w:t> </w:t>
            </w:r>
          </w:p>
        </w:tc>
        <w:tc>
          <w:tcPr>
            <w:tcW w:w="919"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1" w:type="dxa"/>
            <w:tcBorders/>
            <w:shd w:fill="CCEEFF" w:val="clear"/>
            <w:tcMar>
              <w:bottom w:w="0" w:type="dxa"/>
            </w:tcMar>
            <w:vAlign w:val="center"/>
          </w:tcPr>
          <w:p>
            <w:pPr>
              <w:pStyle w:val="TableContents"/>
              <w:bidi w:val="0"/>
              <w:spacing w:before="0" w:after="283"/>
              <w:jc w:val="left"/>
              <w:rPr/>
            </w:pPr>
            <w:r>
              <w:rPr/>
              <w:t> </w:t>
            </w:r>
          </w:p>
        </w:tc>
      </w:tr>
      <w:tr>
        <w:trPr/>
        <w:tc>
          <w:tcPr>
            <w:tcW w:w="1822"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Labrunye, Francis</w:t>
            </w:r>
          </w:p>
        </w:tc>
        <w:tc>
          <w:tcPr>
            <w:tcW w:w="60" w:type="dxa"/>
            <w:tcBorders/>
            <w:shd w:fill="FFFFFF" w:val="clear"/>
            <w:tcMar>
              <w:bottom w:w="0" w:type="dxa"/>
            </w:tcMar>
            <w:vAlign w:val="center"/>
          </w:tcPr>
          <w:p>
            <w:pPr>
              <w:pStyle w:val="TableContents"/>
              <w:bidi w:val="0"/>
              <w:spacing w:before="0" w:after="283"/>
              <w:jc w:val="left"/>
              <w:rPr/>
            </w:pPr>
            <w:r>
              <w:rPr/>
              <w:t> </w:t>
            </w:r>
          </w:p>
        </w:tc>
        <w:tc>
          <w:tcPr>
            <w:tcW w:w="85" w:type="dxa"/>
            <w:tcBorders/>
            <w:shd w:fill="FFFFFF" w:val="clear"/>
            <w:tcMar>
              <w:bottom w:w="0" w:type="dxa"/>
            </w:tcMar>
            <w:vAlign w:val="center"/>
          </w:tcPr>
          <w:p>
            <w:pPr>
              <w:pStyle w:val="TableContents"/>
              <w:bidi w:val="0"/>
              <w:spacing w:before="0" w:after="283"/>
              <w:jc w:val="left"/>
              <w:rPr/>
            </w:pPr>
            <w:r>
              <w:rPr/>
              <w:t> </w:t>
            </w:r>
          </w:p>
        </w:tc>
        <w:tc>
          <w:tcPr>
            <w:tcW w:w="1396"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8" w:type="dxa"/>
            <w:tcBorders/>
            <w:shd w:fill="FFFFFF" w:val="clear"/>
            <w:tcMar>
              <w:bottom w:w="0" w:type="dxa"/>
            </w:tcMar>
            <w:vAlign w:val="center"/>
          </w:tcPr>
          <w:p>
            <w:pPr>
              <w:pStyle w:val="TableContents"/>
              <w:bidi w:val="0"/>
              <w:spacing w:before="0" w:after="283"/>
              <w:jc w:val="left"/>
              <w:rPr/>
            </w:pPr>
            <w:r>
              <w:rPr/>
              <w:t> </w:t>
            </w:r>
          </w:p>
        </w:tc>
        <w:tc>
          <w:tcPr>
            <w:tcW w:w="1168"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9" w:type="dxa"/>
            <w:tcBorders/>
            <w:shd w:fill="FFFFFF" w:val="clear"/>
            <w:tcMar>
              <w:bottom w:w="0" w:type="dxa"/>
            </w:tcMar>
            <w:vAlign w:val="center"/>
          </w:tcPr>
          <w:p>
            <w:pPr>
              <w:pStyle w:val="TableContents"/>
              <w:bidi w:val="0"/>
              <w:spacing w:before="0" w:after="283"/>
              <w:jc w:val="left"/>
              <w:rPr/>
            </w:pPr>
            <w:r>
              <w:rPr/>
              <w:t> </w:t>
            </w:r>
          </w:p>
        </w:tc>
        <w:tc>
          <w:tcPr>
            <w:tcW w:w="1792"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3" w:type="dxa"/>
            <w:tcBorders/>
            <w:shd w:fill="FFFFFF" w:val="clear"/>
            <w:tcMar>
              <w:bottom w:w="0" w:type="dxa"/>
            </w:tcMar>
            <w:vAlign w:val="center"/>
          </w:tcPr>
          <w:p>
            <w:pPr>
              <w:pStyle w:val="TableContents"/>
              <w:bidi w:val="0"/>
              <w:spacing w:before="0" w:after="283"/>
              <w:jc w:val="left"/>
              <w:rPr/>
            </w:pPr>
            <w:r>
              <w:rPr/>
              <w:t> </w:t>
            </w:r>
          </w:p>
        </w:tc>
        <w:tc>
          <w:tcPr>
            <w:tcW w:w="1434"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93" w:type="dxa"/>
            <w:tcBorders/>
            <w:shd w:fill="FFFFFF" w:val="clear"/>
            <w:tcMar>
              <w:bottom w:w="0" w:type="dxa"/>
            </w:tcMar>
            <w:vAlign w:val="center"/>
          </w:tcPr>
          <w:p>
            <w:pPr>
              <w:pStyle w:val="TableContents"/>
              <w:bidi w:val="0"/>
              <w:spacing w:before="0" w:after="283"/>
              <w:jc w:val="left"/>
              <w:rPr/>
            </w:pPr>
            <w:r>
              <w:rPr/>
              <w:t> </w:t>
            </w:r>
          </w:p>
        </w:tc>
        <w:tc>
          <w:tcPr>
            <w:tcW w:w="919"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1" w:type="dxa"/>
            <w:tcBorders/>
            <w:shd w:fill="FFFFFF" w:val="clear"/>
            <w:tcMar>
              <w:bottom w:w="0" w:type="dxa"/>
            </w:tcMar>
            <w:vAlign w:val="center"/>
          </w:tcPr>
          <w:p>
            <w:pPr>
              <w:pStyle w:val="TableContents"/>
              <w:bidi w:val="0"/>
              <w:spacing w:before="0" w:after="283"/>
              <w:jc w:val="left"/>
              <w:rPr/>
            </w:pPr>
            <w:r>
              <w:rPr/>
              <w:t> </w:t>
            </w:r>
          </w:p>
        </w:tc>
      </w:tr>
      <w:tr>
        <w:trPr/>
        <w:tc>
          <w:tcPr>
            <w:tcW w:w="1822"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LDLH</w:t>
            </w:r>
            <w:r>
              <w:rPr>
                <w:rFonts w:ascii="Times New Roman;Times;Serif" w:hAnsi="Times New Roman;Times;Serif"/>
                <w:position w:val="7"/>
                <w:sz w:val="16"/>
                <w:sz w:val="20"/>
              </w:rPr>
              <w:t>(21)</w:t>
            </w:r>
          </w:p>
        </w:tc>
        <w:tc>
          <w:tcPr>
            <w:tcW w:w="60" w:type="dxa"/>
            <w:tcBorders/>
            <w:shd w:fill="CCEEFF" w:val="clear"/>
            <w:tcMar>
              <w:bottom w:w="0" w:type="dxa"/>
            </w:tcMar>
            <w:vAlign w:val="center"/>
          </w:tcPr>
          <w:p>
            <w:pPr>
              <w:pStyle w:val="TableContents"/>
              <w:bidi w:val="0"/>
              <w:spacing w:before="0" w:after="283"/>
              <w:jc w:val="left"/>
              <w:rPr/>
            </w:pPr>
            <w:r>
              <w:rPr/>
              <w:t> </w:t>
            </w:r>
          </w:p>
        </w:tc>
        <w:tc>
          <w:tcPr>
            <w:tcW w:w="85" w:type="dxa"/>
            <w:tcBorders/>
            <w:shd w:fill="CCEEFF" w:val="clear"/>
            <w:tcMar>
              <w:bottom w:w="0" w:type="dxa"/>
            </w:tcMar>
            <w:vAlign w:val="center"/>
          </w:tcPr>
          <w:p>
            <w:pPr>
              <w:pStyle w:val="TableContents"/>
              <w:bidi w:val="0"/>
              <w:spacing w:before="0" w:after="283"/>
              <w:jc w:val="left"/>
              <w:rPr/>
            </w:pPr>
            <w:r>
              <w:rPr/>
              <w:t> </w:t>
            </w:r>
          </w:p>
        </w:tc>
        <w:tc>
          <w:tcPr>
            <w:tcW w:w="1396"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8" w:type="dxa"/>
            <w:tcBorders/>
            <w:shd w:fill="CCEEFF" w:val="clear"/>
            <w:tcMar>
              <w:bottom w:w="0" w:type="dxa"/>
            </w:tcMar>
            <w:vAlign w:val="center"/>
          </w:tcPr>
          <w:p>
            <w:pPr>
              <w:pStyle w:val="TableContents"/>
              <w:bidi w:val="0"/>
              <w:spacing w:before="0" w:after="283"/>
              <w:jc w:val="left"/>
              <w:rPr/>
            </w:pPr>
            <w:r>
              <w:rPr/>
              <w:t> </w:t>
            </w:r>
          </w:p>
        </w:tc>
        <w:tc>
          <w:tcPr>
            <w:tcW w:w="1168"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9" w:type="dxa"/>
            <w:tcBorders/>
            <w:shd w:fill="CCEEFF" w:val="clear"/>
            <w:tcMar>
              <w:bottom w:w="0" w:type="dxa"/>
            </w:tcMar>
            <w:vAlign w:val="center"/>
          </w:tcPr>
          <w:p>
            <w:pPr>
              <w:pStyle w:val="TableContents"/>
              <w:bidi w:val="0"/>
              <w:spacing w:before="0" w:after="283"/>
              <w:jc w:val="left"/>
              <w:rPr/>
            </w:pPr>
            <w:r>
              <w:rPr/>
              <w:t> </w:t>
            </w:r>
          </w:p>
        </w:tc>
        <w:tc>
          <w:tcPr>
            <w:tcW w:w="1792"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978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3" w:type="dxa"/>
            <w:tcBorders/>
            <w:shd w:fill="CCEEFF" w:val="clear"/>
            <w:tcMar>
              <w:bottom w:w="0" w:type="dxa"/>
            </w:tcMar>
            <w:vAlign w:val="center"/>
          </w:tcPr>
          <w:p>
            <w:pPr>
              <w:pStyle w:val="TableContents"/>
              <w:bidi w:val="0"/>
              <w:spacing w:before="0" w:after="283"/>
              <w:jc w:val="left"/>
              <w:rPr/>
            </w:pPr>
            <w:r>
              <w:rPr/>
              <w:t> </w:t>
            </w:r>
          </w:p>
        </w:tc>
        <w:tc>
          <w:tcPr>
            <w:tcW w:w="1434"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93" w:type="dxa"/>
            <w:tcBorders/>
            <w:shd w:fill="CCEEFF" w:val="clear"/>
            <w:tcMar>
              <w:bottom w:w="0" w:type="dxa"/>
            </w:tcMar>
            <w:vAlign w:val="center"/>
          </w:tcPr>
          <w:p>
            <w:pPr>
              <w:pStyle w:val="TableContents"/>
              <w:bidi w:val="0"/>
              <w:spacing w:before="0" w:after="283"/>
              <w:jc w:val="left"/>
              <w:rPr/>
            </w:pPr>
            <w:r>
              <w:rPr/>
              <w:t> </w:t>
            </w:r>
          </w:p>
        </w:tc>
        <w:tc>
          <w:tcPr>
            <w:tcW w:w="919"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1" w:type="dxa"/>
            <w:tcBorders/>
            <w:shd w:fill="CCEEFF" w:val="clear"/>
            <w:tcMar>
              <w:bottom w:w="0" w:type="dxa"/>
            </w:tcMar>
            <w:vAlign w:val="center"/>
          </w:tcPr>
          <w:p>
            <w:pPr>
              <w:pStyle w:val="TableContents"/>
              <w:bidi w:val="0"/>
              <w:spacing w:before="0" w:after="283"/>
              <w:jc w:val="left"/>
              <w:rPr/>
            </w:pPr>
            <w:r>
              <w:rPr/>
              <w:t> </w:t>
            </w:r>
          </w:p>
        </w:tc>
      </w:tr>
      <w:tr>
        <w:trPr/>
        <w:tc>
          <w:tcPr>
            <w:tcW w:w="1822"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Lecouillard, Jacques (décédé:indivision)</w:t>
            </w:r>
          </w:p>
        </w:tc>
        <w:tc>
          <w:tcPr>
            <w:tcW w:w="60" w:type="dxa"/>
            <w:tcBorders/>
            <w:shd w:fill="FFFFFF" w:val="clear"/>
            <w:tcMar>
              <w:bottom w:w="0" w:type="dxa"/>
            </w:tcMar>
            <w:vAlign w:val="center"/>
          </w:tcPr>
          <w:p>
            <w:pPr>
              <w:pStyle w:val="TableContents"/>
              <w:bidi w:val="0"/>
              <w:spacing w:before="0" w:after="283"/>
              <w:jc w:val="left"/>
              <w:rPr/>
            </w:pPr>
            <w:r>
              <w:rPr/>
              <w:t> </w:t>
            </w:r>
          </w:p>
        </w:tc>
        <w:tc>
          <w:tcPr>
            <w:tcW w:w="85" w:type="dxa"/>
            <w:tcBorders/>
            <w:shd w:fill="FFFFFF" w:val="clear"/>
            <w:tcMar>
              <w:bottom w:w="0" w:type="dxa"/>
            </w:tcMar>
            <w:vAlign w:val="center"/>
          </w:tcPr>
          <w:p>
            <w:pPr>
              <w:pStyle w:val="TableContents"/>
              <w:bidi w:val="0"/>
              <w:spacing w:before="0" w:after="283"/>
              <w:jc w:val="left"/>
              <w:rPr/>
            </w:pPr>
            <w:r>
              <w:rPr/>
              <w:t> </w:t>
            </w:r>
          </w:p>
        </w:tc>
        <w:tc>
          <w:tcPr>
            <w:tcW w:w="1396"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8" w:type="dxa"/>
            <w:tcBorders/>
            <w:shd w:fill="FFFFFF" w:val="clear"/>
            <w:tcMar>
              <w:bottom w:w="0" w:type="dxa"/>
            </w:tcMar>
            <w:vAlign w:val="center"/>
          </w:tcPr>
          <w:p>
            <w:pPr>
              <w:pStyle w:val="TableContents"/>
              <w:bidi w:val="0"/>
              <w:spacing w:before="0" w:after="283"/>
              <w:jc w:val="left"/>
              <w:rPr/>
            </w:pPr>
            <w:r>
              <w:rPr/>
              <w:t> </w:t>
            </w:r>
          </w:p>
        </w:tc>
        <w:tc>
          <w:tcPr>
            <w:tcW w:w="1168"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9" w:type="dxa"/>
            <w:tcBorders/>
            <w:shd w:fill="FFFFFF" w:val="clear"/>
            <w:tcMar>
              <w:bottom w:w="0" w:type="dxa"/>
            </w:tcMar>
            <w:vAlign w:val="center"/>
          </w:tcPr>
          <w:p>
            <w:pPr>
              <w:pStyle w:val="TableContents"/>
              <w:bidi w:val="0"/>
              <w:spacing w:before="0" w:after="283"/>
              <w:jc w:val="left"/>
              <w:rPr/>
            </w:pPr>
            <w:r>
              <w:rPr/>
              <w:t> </w:t>
            </w:r>
          </w:p>
        </w:tc>
        <w:tc>
          <w:tcPr>
            <w:tcW w:w="1792"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1,412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3" w:type="dxa"/>
            <w:tcBorders/>
            <w:shd w:fill="FFFFFF" w:val="clear"/>
            <w:tcMar>
              <w:bottom w:w="0" w:type="dxa"/>
            </w:tcMar>
            <w:vAlign w:val="center"/>
          </w:tcPr>
          <w:p>
            <w:pPr>
              <w:pStyle w:val="TableContents"/>
              <w:bidi w:val="0"/>
              <w:spacing w:before="0" w:after="283"/>
              <w:jc w:val="left"/>
              <w:rPr/>
            </w:pPr>
            <w:r>
              <w:rPr/>
              <w:t> </w:t>
            </w:r>
          </w:p>
        </w:tc>
        <w:tc>
          <w:tcPr>
            <w:tcW w:w="1434"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93" w:type="dxa"/>
            <w:tcBorders/>
            <w:shd w:fill="FFFFFF" w:val="clear"/>
            <w:tcMar>
              <w:bottom w:w="0" w:type="dxa"/>
            </w:tcMar>
            <w:vAlign w:val="center"/>
          </w:tcPr>
          <w:p>
            <w:pPr>
              <w:pStyle w:val="TableContents"/>
              <w:bidi w:val="0"/>
              <w:spacing w:before="0" w:after="283"/>
              <w:jc w:val="left"/>
              <w:rPr/>
            </w:pPr>
            <w:r>
              <w:rPr/>
              <w:t> </w:t>
            </w:r>
          </w:p>
        </w:tc>
        <w:tc>
          <w:tcPr>
            <w:tcW w:w="919"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1" w:type="dxa"/>
            <w:tcBorders/>
            <w:shd w:fill="FFFFFF" w:val="clear"/>
            <w:tcMar>
              <w:bottom w:w="0" w:type="dxa"/>
            </w:tcMar>
            <w:vAlign w:val="center"/>
          </w:tcPr>
          <w:p>
            <w:pPr>
              <w:pStyle w:val="TableContents"/>
              <w:bidi w:val="0"/>
              <w:spacing w:before="0" w:after="283"/>
              <w:jc w:val="left"/>
              <w:rPr/>
            </w:pPr>
            <w:r>
              <w:rPr/>
              <w:t> </w:t>
            </w:r>
          </w:p>
        </w:tc>
      </w:tr>
      <w:tr>
        <w:trPr/>
        <w:tc>
          <w:tcPr>
            <w:tcW w:w="1822"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Leray, David</w:t>
            </w:r>
          </w:p>
        </w:tc>
        <w:tc>
          <w:tcPr>
            <w:tcW w:w="60" w:type="dxa"/>
            <w:tcBorders/>
            <w:shd w:fill="CCEEFF" w:val="clear"/>
            <w:tcMar>
              <w:bottom w:w="0" w:type="dxa"/>
            </w:tcMar>
            <w:vAlign w:val="center"/>
          </w:tcPr>
          <w:p>
            <w:pPr>
              <w:pStyle w:val="TableContents"/>
              <w:bidi w:val="0"/>
              <w:spacing w:before="0" w:after="283"/>
              <w:jc w:val="left"/>
              <w:rPr/>
            </w:pPr>
            <w:r>
              <w:rPr/>
              <w:t> </w:t>
            </w:r>
          </w:p>
        </w:tc>
        <w:tc>
          <w:tcPr>
            <w:tcW w:w="85" w:type="dxa"/>
            <w:tcBorders/>
            <w:shd w:fill="CCEEFF" w:val="clear"/>
            <w:tcMar>
              <w:bottom w:w="0" w:type="dxa"/>
            </w:tcMar>
            <w:vAlign w:val="center"/>
          </w:tcPr>
          <w:p>
            <w:pPr>
              <w:pStyle w:val="TableContents"/>
              <w:bidi w:val="0"/>
              <w:spacing w:before="0" w:after="283"/>
              <w:jc w:val="left"/>
              <w:rPr/>
            </w:pPr>
            <w:r>
              <w:rPr/>
              <w:t> </w:t>
            </w:r>
          </w:p>
        </w:tc>
        <w:tc>
          <w:tcPr>
            <w:tcW w:w="1396"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8" w:type="dxa"/>
            <w:tcBorders/>
            <w:shd w:fill="CCEEFF" w:val="clear"/>
            <w:tcMar>
              <w:bottom w:w="0" w:type="dxa"/>
            </w:tcMar>
            <w:vAlign w:val="center"/>
          </w:tcPr>
          <w:p>
            <w:pPr>
              <w:pStyle w:val="TableContents"/>
              <w:bidi w:val="0"/>
              <w:spacing w:before="0" w:after="283"/>
              <w:jc w:val="left"/>
              <w:rPr/>
            </w:pPr>
            <w:r>
              <w:rPr/>
              <w:t> </w:t>
            </w:r>
          </w:p>
        </w:tc>
        <w:tc>
          <w:tcPr>
            <w:tcW w:w="1168"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9" w:type="dxa"/>
            <w:tcBorders/>
            <w:shd w:fill="CCEEFF" w:val="clear"/>
            <w:tcMar>
              <w:bottom w:w="0" w:type="dxa"/>
            </w:tcMar>
            <w:vAlign w:val="center"/>
          </w:tcPr>
          <w:p>
            <w:pPr>
              <w:pStyle w:val="TableContents"/>
              <w:bidi w:val="0"/>
              <w:spacing w:before="0" w:after="283"/>
              <w:jc w:val="left"/>
              <w:rPr/>
            </w:pPr>
            <w:r>
              <w:rPr/>
              <w:t> </w:t>
            </w:r>
          </w:p>
        </w:tc>
        <w:tc>
          <w:tcPr>
            <w:tcW w:w="1792"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3" w:type="dxa"/>
            <w:tcBorders/>
            <w:shd w:fill="CCEEFF" w:val="clear"/>
            <w:tcMar>
              <w:bottom w:w="0" w:type="dxa"/>
            </w:tcMar>
            <w:vAlign w:val="center"/>
          </w:tcPr>
          <w:p>
            <w:pPr>
              <w:pStyle w:val="TableContents"/>
              <w:bidi w:val="0"/>
              <w:spacing w:before="0" w:after="283"/>
              <w:jc w:val="left"/>
              <w:rPr/>
            </w:pPr>
            <w:r>
              <w:rPr/>
              <w:t> </w:t>
            </w:r>
          </w:p>
        </w:tc>
        <w:tc>
          <w:tcPr>
            <w:tcW w:w="1434"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93" w:type="dxa"/>
            <w:tcBorders/>
            <w:shd w:fill="CCEEFF" w:val="clear"/>
            <w:tcMar>
              <w:bottom w:w="0" w:type="dxa"/>
            </w:tcMar>
            <w:vAlign w:val="center"/>
          </w:tcPr>
          <w:p>
            <w:pPr>
              <w:pStyle w:val="TableContents"/>
              <w:bidi w:val="0"/>
              <w:spacing w:before="0" w:after="283"/>
              <w:jc w:val="left"/>
              <w:rPr/>
            </w:pPr>
            <w:r>
              <w:rPr/>
              <w:t> </w:t>
            </w:r>
          </w:p>
        </w:tc>
        <w:tc>
          <w:tcPr>
            <w:tcW w:w="919"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1" w:type="dxa"/>
            <w:tcBorders/>
            <w:shd w:fill="CCEEFF" w:val="clear"/>
            <w:tcMar>
              <w:bottom w:w="0" w:type="dxa"/>
            </w:tcMar>
            <w:vAlign w:val="center"/>
          </w:tcPr>
          <w:p>
            <w:pPr>
              <w:pStyle w:val="TableContents"/>
              <w:bidi w:val="0"/>
              <w:spacing w:before="0" w:after="283"/>
              <w:jc w:val="left"/>
              <w:rPr/>
            </w:pPr>
            <w:r>
              <w:rPr/>
              <w:t> </w:t>
            </w:r>
          </w:p>
        </w:tc>
      </w:tr>
      <w:tr>
        <w:trPr/>
        <w:tc>
          <w:tcPr>
            <w:tcW w:w="1822"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Leroy, Dominique</w:t>
            </w:r>
            <w:r>
              <w:rPr>
                <w:rFonts w:ascii="Times New Roman;Times;Serif" w:hAnsi="Times New Roman;Times;Serif"/>
                <w:position w:val="7"/>
                <w:sz w:val="16"/>
                <w:sz w:val="20"/>
              </w:rPr>
              <w:t>(22)</w:t>
            </w:r>
          </w:p>
        </w:tc>
        <w:tc>
          <w:tcPr>
            <w:tcW w:w="60" w:type="dxa"/>
            <w:tcBorders/>
            <w:shd w:fill="FFFFFF" w:val="clear"/>
            <w:tcMar>
              <w:bottom w:w="0" w:type="dxa"/>
            </w:tcMar>
            <w:vAlign w:val="center"/>
          </w:tcPr>
          <w:p>
            <w:pPr>
              <w:pStyle w:val="TableContents"/>
              <w:bidi w:val="0"/>
              <w:spacing w:before="0" w:after="283"/>
              <w:jc w:val="left"/>
              <w:rPr/>
            </w:pPr>
            <w:r>
              <w:rPr/>
              <w:t> </w:t>
            </w:r>
          </w:p>
        </w:tc>
        <w:tc>
          <w:tcPr>
            <w:tcW w:w="85" w:type="dxa"/>
            <w:tcBorders/>
            <w:shd w:fill="FFFFFF" w:val="clear"/>
            <w:tcMar>
              <w:bottom w:w="0" w:type="dxa"/>
            </w:tcMar>
            <w:vAlign w:val="center"/>
          </w:tcPr>
          <w:p>
            <w:pPr>
              <w:pStyle w:val="TableContents"/>
              <w:bidi w:val="0"/>
              <w:spacing w:before="0" w:after="283"/>
              <w:jc w:val="left"/>
              <w:rPr/>
            </w:pPr>
            <w:r>
              <w:rPr/>
              <w:t> </w:t>
            </w:r>
          </w:p>
        </w:tc>
        <w:tc>
          <w:tcPr>
            <w:tcW w:w="1396"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3,216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8" w:type="dxa"/>
            <w:tcBorders/>
            <w:shd w:fill="FFFFFF" w:val="clear"/>
            <w:tcMar>
              <w:bottom w:w="0" w:type="dxa"/>
            </w:tcMar>
            <w:vAlign w:val="center"/>
          </w:tcPr>
          <w:p>
            <w:pPr>
              <w:pStyle w:val="TableContents"/>
              <w:bidi w:val="0"/>
              <w:spacing w:before="0" w:after="283"/>
              <w:jc w:val="left"/>
              <w:rPr/>
            </w:pPr>
            <w:r>
              <w:rPr/>
              <w:t> </w:t>
            </w:r>
          </w:p>
        </w:tc>
        <w:tc>
          <w:tcPr>
            <w:tcW w:w="1168"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9" w:type="dxa"/>
            <w:tcBorders/>
            <w:shd w:fill="FFFFFF" w:val="clear"/>
            <w:tcMar>
              <w:bottom w:w="0" w:type="dxa"/>
            </w:tcMar>
            <w:vAlign w:val="center"/>
          </w:tcPr>
          <w:p>
            <w:pPr>
              <w:pStyle w:val="TableContents"/>
              <w:bidi w:val="0"/>
              <w:spacing w:before="0" w:after="283"/>
              <w:jc w:val="left"/>
              <w:rPr/>
            </w:pPr>
            <w:r>
              <w:rPr/>
              <w:t> </w:t>
            </w:r>
          </w:p>
        </w:tc>
        <w:tc>
          <w:tcPr>
            <w:tcW w:w="1792"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1,395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3" w:type="dxa"/>
            <w:tcBorders/>
            <w:shd w:fill="FFFFFF" w:val="clear"/>
            <w:tcMar>
              <w:bottom w:w="0" w:type="dxa"/>
            </w:tcMar>
            <w:vAlign w:val="center"/>
          </w:tcPr>
          <w:p>
            <w:pPr>
              <w:pStyle w:val="TableContents"/>
              <w:bidi w:val="0"/>
              <w:spacing w:before="0" w:after="283"/>
              <w:jc w:val="left"/>
              <w:rPr/>
            </w:pPr>
            <w:r>
              <w:rPr/>
              <w:t> </w:t>
            </w:r>
          </w:p>
        </w:tc>
        <w:tc>
          <w:tcPr>
            <w:tcW w:w="1434"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93" w:type="dxa"/>
            <w:tcBorders/>
            <w:shd w:fill="FFFFFF" w:val="clear"/>
            <w:tcMar>
              <w:bottom w:w="0" w:type="dxa"/>
            </w:tcMar>
            <w:vAlign w:val="center"/>
          </w:tcPr>
          <w:p>
            <w:pPr>
              <w:pStyle w:val="TableContents"/>
              <w:bidi w:val="0"/>
              <w:spacing w:before="0" w:after="283"/>
              <w:jc w:val="left"/>
              <w:rPr/>
            </w:pPr>
            <w:r>
              <w:rPr/>
              <w:t> </w:t>
            </w:r>
          </w:p>
        </w:tc>
        <w:tc>
          <w:tcPr>
            <w:tcW w:w="919"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1" w:type="dxa"/>
            <w:tcBorders/>
            <w:shd w:fill="FFFFFF" w:val="clear"/>
            <w:tcMar>
              <w:bottom w:w="0" w:type="dxa"/>
            </w:tcMar>
            <w:vAlign w:val="center"/>
          </w:tcPr>
          <w:p>
            <w:pPr>
              <w:pStyle w:val="TableContents"/>
              <w:bidi w:val="0"/>
              <w:spacing w:before="0" w:after="283"/>
              <w:jc w:val="left"/>
              <w:rPr/>
            </w:pPr>
            <w:r>
              <w:rPr/>
              <w:t> </w:t>
            </w:r>
          </w:p>
        </w:tc>
      </w:tr>
      <w:tr>
        <w:trPr/>
        <w:tc>
          <w:tcPr>
            <w:tcW w:w="1822"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Li, Shen</w:t>
            </w:r>
          </w:p>
        </w:tc>
        <w:tc>
          <w:tcPr>
            <w:tcW w:w="60" w:type="dxa"/>
            <w:tcBorders/>
            <w:shd w:fill="CCEEFF" w:val="clear"/>
            <w:tcMar>
              <w:bottom w:w="0" w:type="dxa"/>
            </w:tcMar>
            <w:vAlign w:val="center"/>
          </w:tcPr>
          <w:p>
            <w:pPr>
              <w:pStyle w:val="TableContents"/>
              <w:bidi w:val="0"/>
              <w:spacing w:before="0" w:after="283"/>
              <w:jc w:val="left"/>
              <w:rPr/>
            </w:pPr>
            <w:r>
              <w:rPr/>
              <w:t> </w:t>
            </w:r>
          </w:p>
        </w:tc>
        <w:tc>
          <w:tcPr>
            <w:tcW w:w="85" w:type="dxa"/>
            <w:tcBorders/>
            <w:shd w:fill="CCEEFF" w:val="clear"/>
            <w:tcMar>
              <w:bottom w:w="0" w:type="dxa"/>
            </w:tcMar>
            <w:vAlign w:val="center"/>
          </w:tcPr>
          <w:p>
            <w:pPr>
              <w:pStyle w:val="TableContents"/>
              <w:bidi w:val="0"/>
              <w:spacing w:before="0" w:after="283"/>
              <w:jc w:val="left"/>
              <w:rPr/>
            </w:pPr>
            <w:r>
              <w:rPr/>
              <w:t> </w:t>
            </w:r>
          </w:p>
        </w:tc>
        <w:tc>
          <w:tcPr>
            <w:tcW w:w="1396"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4,850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8" w:type="dxa"/>
            <w:tcBorders/>
            <w:shd w:fill="CCEEFF" w:val="clear"/>
            <w:tcMar>
              <w:bottom w:w="0" w:type="dxa"/>
            </w:tcMar>
            <w:vAlign w:val="center"/>
          </w:tcPr>
          <w:p>
            <w:pPr>
              <w:pStyle w:val="TableContents"/>
              <w:bidi w:val="0"/>
              <w:spacing w:before="0" w:after="283"/>
              <w:jc w:val="left"/>
              <w:rPr/>
            </w:pPr>
            <w:r>
              <w:rPr/>
              <w:t> </w:t>
            </w:r>
          </w:p>
        </w:tc>
        <w:tc>
          <w:tcPr>
            <w:tcW w:w="1168"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9" w:type="dxa"/>
            <w:tcBorders/>
            <w:shd w:fill="CCEEFF" w:val="clear"/>
            <w:tcMar>
              <w:bottom w:w="0" w:type="dxa"/>
            </w:tcMar>
            <w:vAlign w:val="center"/>
          </w:tcPr>
          <w:p>
            <w:pPr>
              <w:pStyle w:val="TableContents"/>
              <w:bidi w:val="0"/>
              <w:spacing w:before="0" w:after="283"/>
              <w:jc w:val="left"/>
              <w:rPr/>
            </w:pPr>
            <w:r>
              <w:rPr/>
              <w:t> </w:t>
            </w:r>
          </w:p>
        </w:tc>
        <w:tc>
          <w:tcPr>
            <w:tcW w:w="1792"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30,925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3" w:type="dxa"/>
            <w:tcBorders/>
            <w:shd w:fill="CCEEFF" w:val="clear"/>
            <w:tcMar>
              <w:bottom w:w="0" w:type="dxa"/>
            </w:tcMar>
            <w:vAlign w:val="center"/>
          </w:tcPr>
          <w:p>
            <w:pPr>
              <w:pStyle w:val="TableContents"/>
              <w:bidi w:val="0"/>
              <w:spacing w:before="0" w:after="283"/>
              <w:jc w:val="left"/>
              <w:rPr/>
            </w:pPr>
            <w:r>
              <w:rPr/>
              <w:t> </w:t>
            </w:r>
          </w:p>
        </w:tc>
        <w:tc>
          <w:tcPr>
            <w:tcW w:w="1434"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93" w:type="dxa"/>
            <w:tcBorders/>
            <w:shd w:fill="CCEEFF" w:val="clear"/>
            <w:tcMar>
              <w:bottom w:w="0" w:type="dxa"/>
            </w:tcMar>
            <w:vAlign w:val="center"/>
          </w:tcPr>
          <w:p>
            <w:pPr>
              <w:pStyle w:val="TableContents"/>
              <w:bidi w:val="0"/>
              <w:spacing w:before="0" w:after="283"/>
              <w:jc w:val="left"/>
              <w:rPr/>
            </w:pPr>
            <w:r>
              <w:rPr/>
              <w:t> </w:t>
            </w:r>
          </w:p>
        </w:tc>
        <w:tc>
          <w:tcPr>
            <w:tcW w:w="919"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1" w:type="dxa"/>
            <w:tcBorders/>
            <w:shd w:fill="CCEEFF" w:val="clear"/>
            <w:tcMar>
              <w:bottom w:w="0" w:type="dxa"/>
            </w:tcMar>
            <w:vAlign w:val="center"/>
          </w:tcPr>
          <w:p>
            <w:pPr>
              <w:pStyle w:val="TableContents"/>
              <w:bidi w:val="0"/>
              <w:spacing w:before="0" w:after="283"/>
              <w:jc w:val="left"/>
              <w:rPr/>
            </w:pPr>
            <w:r>
              <w:rPr/>
              <w:t> </w:t>
            </w:r>
          </w:p>
        </w:tc>
      </w:tr>
      <w:tr>
        <w:trPr/>
        <w:tc>
          <w:tcPr>
            <w:tcW w:w="1822"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Liard, Clémentine</w:t>
            </w:r>
          </w:p>
        </w:tc>
        <w:tc>
          <w:tcPr>
            <w:tcW w:w="60" w:type="dxa"/>
            <w:tcBorders/>
            <w:shd w:fill="FFFFFF" w:val="clear"/>
            <w:tcMar>
              <w:bottom w:w="0" w:type="dxa"/>
            </w:tcMar>
            <w:vAlign w:val="center"/>
          </w:tcPr>
          <w:p>
            <w:pPr>
              <w:pStyle w:val="TableContents"/>
              <w:bidi w:val="0"/>
              <w:spacing w:before="0" w:after="283"/>
              <w:jc w:val="left"/>
              <w:rPr/>
            </w:pPr>
            <w:r>
              <w:rPr/>
              <w:t> </w:t>
            </w:r>
          </w:p>
        </w:tc>
        <w:tc>
          <w:tcPr>
            <w:tcW w:w="85" w:type="dxa"/>
            <w:tcBorders/>
            <w:shd w:fill="FFFFFF" w:val="clear"/>
            <w:tcMar>
              <w:bottom w:w="0" w:type="dxa"/>
            </w:tcMar>
            <w:vAlign w:val="center"/>
          </w:tcPr>
          <w:p>
            <w:pPr>
              <w:pStyle w:val="TableContents"/>
              <w:bidi w:val="0"/>
              <w:spacing w:before="0" w:after="283"/>
              <w:jc w:val="left"/>
              <w:rPr/>
            </w:pPr>
            <w:r>
              <w:rPr/>
              <w:t> </w:t>
            </w:r>
          </w:p>
        </w:tc>
        <w:tc>
          <w:tcPr>
            <w:tcW w:w="1396"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8" w:type="dxa"/>
            <w:tcBorders/>
            <w:shd w:fill="FFFFFF" w:val="clear"/>
            <w:tcMar>
              <w:bottom w:w="0" w:type="dxa"/>
            </w:tcMar>
            <w:vAlign w:val="center"/>
          </w:tcPr>
          <w:p>
            <w:pPr>
              <w:pStyle w:val="TableContents"/>
              <w:bidi w:val="0"/>
              <w:spacing w:before="0" w:after="283"/>
              <w:jc w:val="left"/>
              <w:rPr/>
            </w:pPr>
            <w:r>
              <w:rPr/>
              <w:t> </w:t>
            </w:r>
          </w:p>
        </w:tc>
        <w:tc>
          <w:tcPr>
            <w:tcW w:w="1168"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9" w:type="dxa"/>
            <w:tcBorders/>
            <w:shd w:fill="FFFFFF" w:val="clear"/>
            <w:tcMar>
              <w:bottom w:w="0" w:type="dxa"/>
            </w:tcMar>
            <w:vAlign w:val="center"/>
          </w:tcPr>
          <w:p>
            <w:pPr>
              <w:pStyle w:val="TableContents"/>
              <w:bidi w:val="0"/>
              <w:spacing w:before="0" w:after="283"/>
              <w:jc w:val="left"/>
              <w:rPr/>
            </w:pPr>
            <w:r>
              <w:rPr/>
              <w:t> </w:t>
            </w:r>
          </w:p>
        </w:tc>
        <w:tc>
          <w:tcPr>
            <w:tcW w:w="1792"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1,921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3" w:type="dxa"/>
            <w:tcBorders/>
            <w:shd w:fill="FFFFFF" w:val="clear"/>
            <w:tcMar>
              <w:bottom w:w="0" w:type="dxa"/>
            </w:tcMar>
            <w:vAlign w:val="center"/>
          </w:tcPr>
          <w:p>
            <w:pPr>
              <w:pStyle w:val="TableContents"/>
              <w:bidi w:val="0"/>
              <w:spacing w:before="0" w:after="283"/>
              <w:jc w:val="left"/>
              <w:rPr/>
            </w:pPr>
            <w:r>
              <w:rPr/>
              <w:t> </w:t>
            </w:r>
          </w:p>
        </w:tc>
        <w:tc>
          <w:tcPr>
            <w:tcW w:w="1434"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93" w:type="dxa"/>
            <w:tcBorders/>
            <w:shd w:fill="FFFFFF" w:val="clear"/>
            <w:tcMar>
              <w:bottom w:w="0" w:type="dxa"/>
            </w:tcMar>
            <w:vAlign w:val="center"/>
          </w:tcPr>
          <w:p>
            <w:pPr>
              <w:pStyle w:val="TableContents"/>
              <w:bidi w:val="0"/>
              <w:spacing w:before="0" w:after="283"/>
              <w:jc w:val="left"/>
              <w:rPr/>
            </w:pPr>
            <w:r>
              <w:rPr/>
              <w:t> </w:t>
            </w:r>
          </w:p>
        </w:tc>
        <w:tc>
          <w:tcPr>
            <w:tcW w:w="919"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1" w:type="dxa"/>
            <w:tcBorders/>
            <w:shd w:fill="FFFFFF" w:val="clear"/>
            <w:tcMar>
              <w:bottom w:w="0" w:type="dxa"/>
            </w:tcMar>
            <w:vAlign w:val="center"/>
          </w:tcPr>
          <w:p>
            <w:pPr>
              <w:pStyle w:val="TableContents"/>
              <w:bidi w:val="0"/>
              <w:spacing w:before="0" w:after="283"/>
              <w:jc w:val="left"/>
              <w:rPr/>
            </w:pPr>
            <w:r>
              <w:rPr/>
              <w:t> </w:t>
            </w:r>
          </w:p>
        </w:tc>
      </w:tr>
      <w:tr>
        <w:trPr/>
        <w:tc>
          <w:tcPr>
            <w:tcW w:w="1822"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Martin, Franck</w:t>
            </w:r>
          </w:p>
        </w:tc>
        <w:tc>
          <w:tcPr>
            <w:tcW w:w="60" w:type="dxa"/>
            <w:tcBorders/>
            <w:shd w:fill="CCEEFF" w:val="clear"/>
            <w:tcMar>
              <w:bottom w:w="0" w:type="dxa"/>
            </w:tcMar>
            <w:vAlign w:val="center"/>
          </w:tcPr>
          <w:p>
            <w:pPr>
              <w:pStyle w:val="TableContents"/>
              <w:bidi w:val="0"/>
              <w:spacing w:before="0" w:after="283"/>
              <w:jc w:val="left"/>
              <w:rPr/>
            </w:pPr>
            <w:r>
              <w:rPr/>
              <w:t> </w:t>
            </w:r>
          </w:p>
        </w:tc>
        <w:tc>
          <w:tcPr>
            <w:tcW w:w="85" w:type="dxa"/>
            <w:tcBorders/>
            <w:shd w:fill="CCEEFF" w:val="clear"/>
            <w:tcMar>
              <w:bottom w:w="0" w:type="dxa"/>
            </w:tcMar>
            <w:vAlign w:val="center"/>
          </w:tcPr>
          <w:p>
            <w:pPr>
              <w:pStyle w:val="TableContents"/>
              <w:bidi w:val="0"/>
              <w:spacing w:before="0" w:after="283"/>
              <w:jc w:val="left"/>
              <w:rPr/>
            </w:pPr>
            <w:r>
              <w:rPr/>
              <w:t> </w:t>
            </w:r>
          </w:p>
        </w:tc>
        <w:tc>
          <w:tcPr>
            <w:tcW w:w="1396"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8" w:type="dxa"/>
            <w:tcBorders/>
            <w:shd w:fill="CCEEFF" w:val="clear"/>
            <w:tcMar>
              <w:bottom w:w="0" w:type="dxa"/>
            </w:tcMar>
            <w:vAlign w:val="center"/>
          </w:tcPr>
          <w:p>
            <w:pPr>
              <w:pStyle w:val="TableContents"/>
              <w:bidi w:val="0"/>
              <w:spacing w:before="0" w:after="283"/>
              <w:jc w:val="left"/>
              <w:rPr/>
            </w:pPr>
            <w:r>
              <w:rPr/>
              <w:t> </w:t>
            </w:r>
          </w:p>
        </w:tc>
        <w:tc>
          <w:tcPr>
            <w:tcW w:w="1168"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9" w:type="dxa"/>
            <w:tcBorders/>
            <w:shd w:fill="CCEEFF" w:val="clear"/>
            <w:tcMar>
              <w:bottom w:w="0" w:type="dxa"/>
            </w:tcMar>
            <w:vAlign w:val="center"/>
          </w:tcPr>
          <w:p>
            <w:pPr>
              <w:pStyle w:val="TableContents"/>
              <w:bidi w:val="0"/>
              <w:spacing w:before="0" w:after="283"/>
              <w:jc w:val="left"/>
              <w:rPr/>
            </w:pPr>
            <w:r>
              <w:rPr/>
              <w:t> </w:t>
            </w:r>
          </w:p>
        </w:tc>
        <w:tc>
          <w:tcPr>
            <w:tcW w:w="1792"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3" w:type="dxa"/>
            <w:tcBorders/>
            <w:shd w:fill="CCEEFF" w:val="clear"/>
            <w:tcMar>
              <w:bottom w:w="0" w:type="dxa"/>
            </w:tcMar>
            <w:vAlign w:val="center"/>
          </w:tcPr>
          <w:p>
            <w:pPr>
              <w:pStyle w:val="TableContents"/>
              <w:bidi w:val="0"/>
              <w:spacing w:before="0" w:after="283"/>
              <w:jc w:val="left"/>
              <w:rPr/>
            </w:pPr>
            <w:r>
              <w:rPr/>
              <w:t> </w:t>
            </w:r>
          </w:p>
        </w:tc>
        <w:tc>
          <w:tcPr>
            <w:tcW w:w="1434"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93" w:type="dxa"/>
            <w:tcBorders/>
            <w:shd w:fill="CCEEFF" w:val="clear"/>
            <w:tcMar>
              <w:bottom w:w="0" w:type="dxa"/>
            </w:tcMar>
            <w:vAlign w:val="center"/>
          </w:tcPr>
          <w:p>
            <w:pPr>
              <w:pStyle w:val="TableContents"/>
              <w:bidi w:val="0"/>
              <w:spacing w:before="0" w:after="283"/>
              <w:jc w:val="left"/>
              <w:rPr/>
            </w:pPr>
            <w:r>
              <w:rPr/>
              <w:t> </w:t>
            </w:r>
          </w:p>
        </w:tc>
        <w:tc>
          <w:tcPr>
            <w:tcW w:w="919"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1" w:type="dxa"/>
            <w:tcBorders/>
            <w:shd w:fill="CCEEFF" w:val="clear"/>
            <w:tcMar>
              <w:bottom w:w="0" w:type="dxa"/>
            </w:tcMar>
            <w:vAlign w:val="center"/>
          </w:tcPr>
          <w:p>
            <w:pPr>
              <w:pStyle w:val="TableContents"/>
              <w:bidi w:val="0"/>
              <w:spacing w:before="0" w:after="283"/>
              <w:jc w:val="left"/>
              <w:rPr/>
            </w:pPr>
            <w:r>
              <w:rPr/>
              <w:t> </w:t>
            </w:r>
          </w:p>
        </w:tc>
      </w:tr>
      <w:tr>
        <w:trPr/>
        <w:tc>
          <w:tcPr>
            <w:tcW w:w="1822"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MicroPort Cardiovascular LLC</w:t>
            </w:r>
            <w:r>
              <w:rPr>
                <w:rFonts w:ascii="Times New Roman;Times;Serif" w:hAnsi="Times New Roman;Times;Serif"/>
                <w:position w:val="7"/>
                <w:sz w:val="16"/>
                <w:sz w:val="20"/>
              </w:rPr>
              <w:t>(23)</w:t>
            </w:r>
          </w:p>
        </w:tc>
        <w:tc>
          <w:tcPr>
            <w:tcW w:w="60" w:type="dxa"/>
            <w:tcBorders/>
            <w:shd w:fill="FFFFFF" w:val="clear"/>
            <w:tcMar>
              <w:bottom w:w="0" w:type="dxa"/>
            </w:tcMar>
            <w:vAlign w:val="center"/>
          </w:tcPr>
          <w:p>
            <w:pPr>
              <w:pStyle w:val="TableContents"/>
              <w:bidi w:val="0"/>
              <w:spacing w:before="0" w:after="283"/>
              <w:jc w:val="left"/>
              <w:rPr/>
            </w:pPr>
            <w:r>
              <w:rPr/>
              <w:t> </w:t>
            </w:r>
          </w:p>
        </w:tc>
        <w:tc>
          <w:tcPr>
            <w:tcW w:w="85" w:type="dxa"/>
            <w:tcBorders/>
            <w:shd w:fill="FFFFFF" w:val="clear"/>
            <w:tcMar>
              <w:bottom w:w="0" w:type="dxa"/>
            </w:tcMar>
            <w:vAlign w:val="center"/>
          </w:tcPr>
          <w:p>
            <w:pPr>
              <w:pStyle w:val="TableContents"/>
              <w:bidi w:val="0"/>
              <w:spacing w:before="0" w:after="283"/>
              <w:jc w:val="left"/>
              <w:rPr/>
            </w:pPr>
            <w:r>
              <w:rPr/>
              <w:t> </w:t>
            </w:r>
          </w:p>
        </w:tc>
        <w:tc>
          <w:tcPr>
            <w:tcW w:w="1396"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31,784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8" w:type="dxa"/>
            <w:tcBorders/>
            <w:shd w:fill="FFFFFF" w:val="clear"/>
            <w:tcMar>
              <w:bottom w:w="0" w:type="dxa"/>
            </w:tcMar>
            <w:vAlign w:val="center"/>
          </w:tcPr>
          <w:p>
            <w:pPr>
              <w:pStyle w:val="TableContents"/>
              <w:bidi w:val="0"/>
              <w:spacing w:before="0" w:after="283"/>
              <w:jc w:val="left"/>
              <w:rPr/>
            </w:pPr>
            <w:r>
              <w:rPr/>
              <w:t> </w:t>
            </w:r>
          </w:p>
        </w:tc>
        <w:tc>
          <w:tcPr>
            <w:tcW w:w="1168"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9" w:type="dxa"/>
            <w:tcBorders/>
            <w:shd w:fill="FFFFFF" w:val="clear"/>
            <w:tcMar>
              <w:bottom w:w="0" w:type="dxa"/>
            </w:tcMar>
            <w:vAlign w:val="center"/>
          </w:tcPr>
          <w:p>
            <w:pPr>
              <w:pStyle w:val="TableContents"/>
              <w:bidi w:val="0"/>
              <w:spacing w:before="0" w:after="283"/>
              <w:jc w:val="left"/>
              <w:rPr/>
            </w:pPr>
            <w:r>
              <w:rPr/>
              <w:t> </w:t>
            </w:r>
          </w:p>
        </w:tc>
        <w:tc>
          <w:tcPr>
            <w:tcW w:w="1792"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200,877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3" w:type="dxa"/>
            <w:tcBorders/>
            <w:shd w:fill="FFFFFF" w:val="clear"/>
            <w:tcMar>
              <w:bottom w:w="0" w:type="dxa"/>
            </w:tcMar>
            <w:vAlign w:val="center"/>
          </w:tcPr>
          <w:p>
            <w:pPr>
              <w:pStyle w:val="TableContents"/>
              <w:bidi w:val="0"/>
              <w:spacing w:before="0" w:after="283"/>
              <w:jc w:val="left"/>
              <w:rPr/>
            </w:pPr>
            <w:r>
              <w:rPr/>
              <w:t> </w:t>
            </w:r>
          </w:p>
        </w:tc>
        <w:tc>
          <w:tcPr>
            <w:tcW w:w="1434"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93" w:type="dxa"/>
            <w:tcBorders/>
            <w:shd w:fill="FFFFFF" w:val="clear"/>
            <w:tcMar>
              <w:bottom w:w="0" w:type="dxa"/>
            </w:tcMar>
            <w:vAlign w:val="center"/>
          </w:tcPr>
          <w:p>
            <w:pPr>
              <w:pStyle w:val="TableContents"/>
              <w:bidi w:val="0"/>
              <w:spacing w:before="0" w:after="283"/>
              <w:jc w:val="left"/>
              <w:rPr/>
            </w:pPr>
            <w:r>
              <w:rPr/>
              <w:t> </w:t>
            </w:r>
          </w:p>
        </w:tc>
        <w:tc>
          <w:tcPr>
            <w:tcW w:w="919"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1" w:type="dxa"/>
            <w:tcBorders/>
            <w:shd w:fill="FFFFFF" w:val="clear"/>
            <w:tcMar>
              <w:bottom w:w="0" w:type="dxa"/>
            </w:tcMar>
            <w:vAlign w:val="center"/>
          </w:tcPr>
          <w:p>
            <w:pPr>
              <w:pStyle w:val="TableContents"/>
              <w:bidi w:val="0"/>
              <w:spacing w:before="0" w:after="283"/>
              <w:jc w:val="left"/>
              <w:rPr/>
            </w:pPr>
            <w:r>
              <w:rPr/>
              <w:t> </w:t>
            </w:r>
          </w:p>
        </w:tc>
      </w:tr>
      <w:tr>
        <w:trPr/>
        <w:tc>
          <w:tcPr>
            <w:tcW w:w="1822"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Normandie Participations</w:t>
            </w:r>
            <w:r>
              <w:rPr>
                <w:rFonts w:ascii="Times New Roman;Times;Serif" w:hAnsi="Times New Roman;Times;Serif"/>
                <w:position w:val="7"/>
                <w:sz w:val="16"/>
                <w:sz w:val="20"/>
              </w:rPr>
              <w:t>(24)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85" w:type="dxa"/>
            <w:tcBorders/>
            <w:shd w:fill="CCEEFF" w:val="clear"/>
            <w:tcMar>
              <w:bottom w:w="0" w:type="dxa"/>
            </w:tcMar>
            <w:vAlign w:val="center"/>
          </w:tcPr>
          <w:p>
            <w:pPr>
              <w:pStyle w:val="TableContents"/>
              <w:bidi w:val="0"/>
              <w:spacing w:before="0" w:after="283"/>
              <w:jc w:val="left"/>
              <w:rPr/>
            </w:pPr>
            <w:r>
              <w:rPr/>
              <w:t> </w:t>
            </w:r>
          </w:p>
        </w:tc>
        <w:tc>
          <w:tcPr>
            <w:tcW w:w="1396"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178,966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8" w:type="dxa"/>
            <w:tcBorders/>
            <w:shd w:fill="CCEEFF" w:val="clear"/>
            <w:tcMar>
              <w:bottom w:w="0" w:type="dxa"/>
            </w:tcMar>
            <w:vAlign w:val="center"/>
          </w:tcPr>
          <w:p>
            <w:pPr>
              <w:pStyle w:val="TableContents"/>
              <w:bidi w:val="0"/>
              <w:spacing w:before="0" w:after="283"/>
              <w:jc w:val="left"/>
              <w:rPr/>
            </w:pPr>
            <w:r>
              <w:rPr/>
              <w:t> </w:t>
            </w:r>
          </w:p>
        </w:tc>
        <w:tc>
          <w:tcPr>
            <w:tcW w:w="1168"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9" w:type="dxa"/>
            <w:tcBorders/>
            <w:shd w:fill="CCEEFF" w:val="clear"/>
            <w:tcMar>
              <w:bottom w:w="0" w:type="dxa"/>
            </w:tcMar>
            <w:vAlign w:val="center"/>
          </w:tcPr>
          <w:p>
            <w:pPr>
              <w:pStyle w:val="TableContents"/>
              <w:bidi w:val="0"/>
              <w:spacing w:before="0" w:after="283"/>
              <w:jc w:val="left"/>
              <w:rPr/>
            </w:pPr>
            <w:r>
              <w:rPr/>
              <w:t> </w:t>
            </w:r>
          </w:p>
        </w:tc>
        <w:tc>
          <w:tcPr>
            <w:tcW w:w="1792"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1,166,627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3" w:type="dxa"/>
            <w:tcBorders/>
            <w:shd w:fill="CCEEFF" w:val="clear"/>
            <w:tcMar>
              <w:bottom w:w="0" w:type="dxa"/>
            </w:tcMar>
            <w:vAlign w:val="center"/>
          </w:tcPr>
          <w:p>
            <w:pPr>
              <w:pStyle w:val="TableContents"/>
              <w:bidi w:val="0"/>
              <w:spacing w:before="0" w:after="283"/>
              <w:jc w:val="left"/>
              <w:rPr/>
            </w:pPr>
            <w:r>
              <w:rPr/>
              <w:t> </w:t>
            </w:r>
          </w:p>
        </w:tc>
        <w:tc>
          <w:tcPr>
            <w:tcW w:w="1434"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93" w:type="dxa"/>
            <w:tcBorders/>
            <w:shd w:fill="CCEEFF" w:val="clear"/>
            <w:tcMar>
              <w:bottom w:w="0" w:type="dxa"/>
            </w:tcMar>
            <w:vAlign w:val="center"/>
          </w:tcPr>
          <w:p>
            <w:pPr>
              <w:pStyle w:val="TableContents"/>
              <w:bidi w:val="0"/>
              <w:spacing w:before="0" w:after="283"/>
              <w:jc w:val="left"/>
              <w:rPr/>
            </w:pPr>
            <w:r>
              <w:rPr/>
              <w:t> </w:t>
            </w:r>
          </w:p>
        </w:tc>
        <w:tc>
          <w:tcPr>
            <w:tcW w:w="919"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1" w:type="dxa"/>
            <w:tcBorders/>
            <w:shd w:fill="CCEEFF" w:val="clear"/>
            <w:tcMar>
              <w:bottom w:w="0" w:type="dxa"/>
            </w:tcMar>
            <w:vAlign w:val="center"/>
          </w:tcPr>
          <w:p>
            <w:pPr>
              <w:pStyle w:val="TableContents"/>
              <w:bidi w:val="0"/>
              <w:spacing w:before="0" w:after="283"/>
              <w:jc w:val="left"/>
              <w:rPr/>
            </w:pPr>
            <w:r>
              <w:rPr/>
              <w:t> </w:t>
            </w:r>
          </w:p>
        </w:tc>
      </w:tr>
      <w:tr>
        <w:trPr/>
        <w:tc>
          <w:tcPr>
            <w:tcW w:w="1822"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Objectif Innovation 10 (Anaxago)</w:t>
            </w:r>
            <w:r>
              <w:rPr>
                <w:rFonts w:ascii="Times New Roman;Times;Serif" w:hAnsi="Times New Roman;Times;Serif"/>
                <w:position w:val="7"/>
                <w:sz w:val="16"/>
                <w:sz w:val="20"/>
              </w:rPr>
              <w:t>(25)</w:t>
            </w:r>
          </w:p>
        </w:tc>
        <w:tc>
          <w:tcPr>
            <w:tcW w:w="60" w:type="dxa"/>
            <w:tcBorders/>
            <w:shd w:fill="FFFFFF" w:val="clear"/>
            <w:tcMar>
              <w:bottom w:w="0" w:type="dxa"/>
            </w:tcMar>
            <w:vAlign w:val="center"/>
          </w:tcPr>
          <w:p>
            <w:pPr>
              <w:pStyle w:val="TableContents"/>
              <w:bidi w:val="0"/>
              <w:spacing w:before="0" w:after="283"/>
              <w:jc w:val="left"/>
              <w:rPr/>
            </w:pPr>
            <w:r>
              <w:rPr/>
              <w:t> </w:t>
            </w:r>
          </w:p>
        </w:tc>
        <w:tc>
          <w:tcPr>
            <w:tcW w:w="85" w:type="dxa"/>
            <w:tcBorders/>
            <w:shd w:fill="FFFFFF" w:val="clear"/>
            <w:tcMar>
              <w:bottom w:w="0" w:type="dxa"/>
            </w:tcMar>
            <w:vAlign w:val="center"/>
          </w:tcPr>
          <w:p>
            <w:pPr>
              <w:pStyle w:val="TableContents"/>
              <w:bidi w:val="0"/>
              <w:spacing w:before="0" w:after="283"/>
              <w:jc w:val="left"/>
              <w:rPr/>
            </w:pPr>
            <w:r>
              <w:rPr/>
              <w:t> </w:t>
            </w:r>
          </w:p>
        </w:tc>
        <w:tc>
          <w:tcPr>
            <w:tcW w:w="1396"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85,768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8" w:type="dxa"/>
            <w:tcBorders/>
            <w:shd w:fill="FFFFFF" w:val="clear"/>
            <w:tcMar>
              <w:bottom w:w="0" w:type="dxa"/>
            </w:tcMar>
            <w:vAlign w:val="center"/>
          </w:tcPr>
          <w:p>
            <w:pPr>
              <w:pStyle w:val="TableContents"/>
              <w:bidi w:val="0"/>
              <w:spacing w:before="0" w:after="283"/>
              <w:jc w:val="left"/>
              <w:rPr/>
            </w:pPr>
            <w:r>
              <w:rPr/>
              <w:t> </w:t>
            </w:r>
          </w:p>
        </w:tc>
        <w:tc>
          <w:tcPr>
            <w:tcW w:w="1168"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9" w:type="dxa"/>
            <w:tcBorders/>
            <w:shd w:fill="FFFFFF" w:val="clear"/>
            <w:tcMar>
              <w:bottom w:w="0" w:type="dxa"/>
            </w:tcMar>
            <w:vAlign w:val="center"/>
          </w:tcPr>
          <w:p>
            <w:pPr>
              <w:pStyle w:val="TableContents"/>
              <w:bidi w:val="0"/>
              <w:spacing w:before="0" w:after="283"/>
              <w:jc w:val="left"/>
              <w:rPr/>
            </w:pPr>
            <w:r>
              <w:rPr/>
              <w:t> </w:t>
            </w:r>
          </w:p>
        </w:tc>
        <w:tc>
          <w:tcPr>
            <w:tcW w:w="1792"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559,097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3" w:type="dxa"/>
            <w:tcBorders/>
            <w:shd w:fill="FFFFFF" w:val="clear"/>
            <w:tcMar>
              <w:bottom w:w="0" w:type="dxa"/>
            </w:tcMar>
            <w:vAlign w:val="center"/>
          </w:tcPr>
          <w:p>
            <w:pPr>
              <w:pStyle w:val="TableContents"/>
              <w:bidi w:val="0"/>
              <w:spacing w:before="0" w:after="283"/>
              <w:jc w:val="left"/>
              <w:rPr/>
            </w:pPr>
            <w:r>
              <w:rPr/>
              <w:t> </w:t>
            </w:r>
          </w:p>
        </w:tc>
        <w:tc>
          <w:tcPr>
            <w:tcW w:w="1434"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93" w:type="dxa"/>
            <w:tcBorders/>
            <w:shd w:fill="FFFFFF" w:val="clear"/>
            <w:tcMar>
              <w:bottom w:w="0" w:type="dxa"/>
            </w:tcMar>
            <w:vAlign w:val="center"/>
          </w:tcPr>
          <w:p>
            <w:pPr>
              <w:pStyle w:val="TableContents"/>
              <w:bidi w:val="0"/>
              <w:spacing w:before="0" w:after="283"/>
              <w:jc w:val="left"/>
              <w:rPr/>
            </w:pPr>
            <w:r>
              <w:rPr/>
              <w:t> </w:t>
            </w:r>
          </w:p>
        </w:tc>
        <w:tc>
          <w:tcPr>
            <w:tcW w:w="919"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1" w:type="dxa"/>
            <w:tcBorders/>
            <w:shd w:fill="FFFFFF" w:val="clear"/>
            <w:tcMar>
              <w:bottom w:w="0" w:type="dxa"/>
            </w:tcMar>
            <w:vAlign w:val="center"/>
          </w:tcPr>
          <w:p>
            <w:pPr>
              <w:pStyle w:val="TableContents"/>
              <w:bidi w:val="0"/>
              <w:spacing w:before="0" w:after="283"/>
              <w:jc w:val="left"/>
              <w:rPr/>
            </w:pPr>
            <w:r>
              <w:rPr/>
              <w:t> </w:t>
            </w:r>
          </w:p>
        </w:tc>
      </w:tr>
      <w:tr>
        <w:trPr/>
        <w:tc>
          <w:tcPr>
            <w:tcW w:w="1822"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Objectif Innovation 63 (Anaxago)</w:t>
            </w:r>
            <w:r>
              <w:rPr>
                <w:rFonts w:ascii="Times New Roman;Times;Serif" w:hAnsi="Times New Roman;Times;Serif"/>
                <w:position w:val="7"/>
                <w:sz w:val="16"/>
                <w:sz w:val="20"/>
              </w:rPr>
              <w:t>(26)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85" w:type="dxa"/>
            <w:tcBorders/>
            <w:shd w:fill="CCEEFF" w:val="clear"/>
            <w:tcMar>
              <w:bottom w:w="0" w:type="dxa"/>
            </w:tcMar>
            <w:vAlign w:val="center"/>
          </w:tcPr>
          <w:p>
            <w:pPr>
              <w:pStyle w:val="TableContents"/>
              <w:bidi w:val="0"/>
              <w:spacing w:before="0" w:after="283"/>
              <w:jc w:val="left"/>
              <w:rPr/>
            </w:pPr>
            <w:r>
              <w:rPr/>
              <w:t> </w:t>
            </w:r>
          </w:p>
        </w:tc>
        <w:tc>
          <w:tcPr>
            <w:tcW w:w="1396"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46,170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8" w:type="dxa"/>
            <w:tcBorders/>
            <w:shd w:fill="CCEEFF" w:val="clear"/>
            <w:tcMar>
              <w:bottom w:w="0" w:type="dxa"/>
            </w:tcMar>
            <w:vAlign w:val="center"/>
          </w:tcPr>
          <w:p>
            <w:pPr>
              <w:pStyle w:val="TableContents"/>
              <w:bidi w:val="0"/>
              <w:spacing w:before="0" w:after="283"/>
              <w:jc w:val="left"/>
              <w:rPr/>
            </w:pPr>
            <w:r>
              <w:rPr/>
              <w:t> </w:t>
            </w:r>
          </w:p>
        </w:tc>
        <w:tc>
          <w:tcPr>
            <w:tcW w:w="1168"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9" w:type="dxa"/>
            <w:tcBorders/>
            <w:shd w:fill="CCEEFF" w:val="clear"/>
            <w:tcMar>
              <w:bottom w:w="0" w:type="dxa"/>
            </w:tcMar>
            <w:vAlign w:val="center"/>
          </w:tcPr>
          <w:p>
            <w:pPr>
              <w:pStyle w:val="TableContents"/>
              <w:bidi w:val="0"/>
              <w:spacing w:before="0" w:after="283"/>
              <w:jc w:val="left"/>
              <w:rPr/>
            </w:pPr>
            <w:r>
              <w:rPr/>
              <w:t> </w:t>
            </w:r>
          </w:p>
        </w:tc>
        <w:tc>
          <w:tcPr>
            <w:tcW w:w="1792"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300,970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3" w:type="dxa"/>
            <w:tcBorders/>
            <w:shd w:fill="CCEEFF" w:val="clear"/>
            <w:tcMar>
              <w:bottom w:w="0" w:type="dxa"/>
            </w:tcMar>
            <w:vAlign w:val="center"/>
          </w:tcPr>
          <w:p>
            <w:pPr>
              <w:pStyle w:val="TableContents"/>
              <w:bidi w:val="0"/>
              <w:spacing w:before="0" w:after="283"/>
              <w:jc w:val="left"/>
              <w:rPr/>
            </w:pPr>
            <w:r>
              <w:rPr/>
              <w:t> </w:t>
            </w:r>
          </w:p>
        </w:tc>
        <w:tc>
          <w:tcPr>
            <w:tcW w:w="1434"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93" w:type="dxa"/>
            <w:tcBorders/>
            <w:shd w:fill="CCEEFF" w:val="clear"/>
            <w:tcMar>
              <w:bottom w:w="0" w:type="dxa"/>
            </w:tcMar>
            <w:vAlign w:val="center"/>
          </w:tcPr>
          <w:p>
            <w:pPr>
              <w:pStyle w:val="TableContents"/>
              <w:bidi w:val="0"/>
              <w:spacing w:before="0" w:after="283"/>
              <w:jc w:val="left"/>
              <w:rPr/>
            </w:pPr>
            <w:r>
              <w:rPr/>
              <w:t> </w:t>
            </w:r>
          </w:p>
        </w:tc>
        <w:tc>
          <w:tcPr>
            <w:tcW w:w="919"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1" w:type="dxa"/>
            <w:tcBorders/>
            <w:shd w:fill="CCEEFF" w:val="clear"/>
            <w:tcMar>
              <w:bottom w:w="0" w:type="dxa"/>
            </w:tcMar>
            <w:vAlign w:val="center"/>
          </w:tcPr>
          <w:p>
            <w:pPr>
              <w:pStyle w:val="TableContents"/>
              <w:bidi w:val="0"/>
              <w:spacing w:before="0" w:after="283"/>
              <w:jc w:val="left"/>
              <w:rPr/>
            </w:pPr>
            <w:r>
              <w:rPr/>
              <w:t> </w:t>
            </w:r>
          </w:p>
        </w:tc>
      </w:tr>
      <w:tr>
        <w:trPr/>
        <w:tc>
          <w:tcPr>
            <w:tcW w:w="1822"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Pouget, Roger Marc</w:t>
            </w:r>
          </w:p>
        </w:tc>
        <w:tc>
          <w:tcPr>
            <w:tcW w:w="60" w:type="dxa"/>
            <w:tcBorders/>
            <w:shd w:fill="FFFFFF" w:val="clear"/>
            <w:tcMar>
              <w:bottom w:w="0" w:type="dxa"/>
            </w:tcMar>
            <w:vAlign w:val="center"/>
          </w:tcPr>
          <w:p>
            <w:pPr>
              <w:pStyle w:val="TableContents"/>
              <w:bidi w:val="0"/>
              <w:spacing w:before="0" w:after="283"/>
              <w:jc w:val="left"/>
              <w:rPr/>
            </w:pPr>
            <w:r>
              <w:rPr/>
              <w:t> </w:t>
            </w:r>
          </w:p>
        </w:tc>
        <w:tc>
          <w:tcPr>
            <w:tcW w:w="85" w:type="dxa"/>
            <w:tcBorders/>
            <w:shd w:fill="FFFFFF" w:val="clear"/>
            <w:tcMar>
              <w:bottom w:w="0" w:type="dxa"/>
            </w:tcMar>
            <w:vAlign w:val="center"/>
          </w:tcPr>
          <w:p>
            <w:pPr>
              <w:pStyle w:val="TableContents"/>
              <w:bidi w:val="0"/>
              <w:spacing w:before="0" w:after="283"/>
              <w:jc w:val="left"/>
              <w:rPr/>
            </w:pPr>
            <w:r>
              <w:rPr/>
              <w:t> </w:t>
            </w:r>
          </w:p>
        </w:tc>
        <w:tc>
          <w:tcPr>
            <w:tcW w:w="1396"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6,398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8" w:type="dxa"/>
            <w:tcBorders/>
            <w:shd w:fill="FFFFFF" w:val="clear"/>
            <w:tcMar>
              <w:bottom w:w="0" w:type="dxa"/>
            </w:tcMar>
            <w:vAlign w:val="center"/>
          </w:tcPr>
          <w:p>
            <w:pPr>
              <w:pStyle w:val="TableContents"/>
              <w:bidi w:val="0"/>
              <w:spacing w:before="0" w:after="283"/>
              <w:jc w:val="left"/>
              <w:rPr/>
            </w:pPr>
            <w:r>
              <w:rPr/>
              <w:t> </w:t>
            </w:r>
          </w:p>
        </w:tc>
        <w:tc>
          <w:tcPr>
            <w:tcW w:w="1168"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9" w:type="dxa"/>
            <w:tcBorders/>
            <w:shd w:fill="FFFFFF" w:val="clear"/>
            <w:tcMar>
              <w:bottom w:w="0" w:type="dxa"/>
            </w:tcMar>
            <w:vAlign w:val="center"/>
          </w:tcPr>
          <w:p>
            <w:pPr>
              <w:pStyle w:val="TableContents"/>
              <w:bidi w:val="0"/>
              <w:spacing w:before="0" w:after="283"/>
              <w:jc w:val="left"/>
              <w:rPr/>
            </w:pPr>
            <w:r>
              <w:rPr/>
              <w:t> </w:t>
            </w:r>
          </w:p>
        </w:tc>
        <w:tc>
          <w:tcPr>
            <w:tcW w:w="1792"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41,711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3" w:type="dxa"/>
            <w:tcBorders/>
            <w:shd w:fill="FFFFFF" w:val="clear"/>
            <w:tcMar>
              <w:bottom w:w="0" w:type="dxa"/>
            </w:tcMar>
            <w:vAlign w:val="center"/>
          </w:tcPr>
          <w:p>
            <w:pPr>
              <w:pStyle w:val="TableContents"/>
              <w:bidi w:val="0"/>
              <w:spacing w:before="0" w:after="283"/>
              <w:jc w:val="left"/>
              <w:rPr/>
            </w:pPr>
            <w:r>
              <w:rPr/>
              <w:t> </w:t>
            </w:r>
          </w:p>
        </w:tc>
        <w:tc>
          <w:tcPr>
            <w:tcW w:w="1434"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93" w:type="dxa"/>
            <w:tcBorders/>
            <w:shd w:fill="FFFFFF" w:val="clear"/>
            <w:tcMar>
              <w:bottom w:w="0" w:type="dxa"/>
            </w:tcMar>
            <w:vAlign w:val="center"/>
          </w:tcPr>
          <w:p>
            <w:pPr>
              <w:pStyle w:val="TableContents"/>
              <w:bidi w:val="0"/>
              <w:spacing w:before="0" w:after="283"/>
              <w:jc w:val="left"/>
              <w:rPr/>
            </w:pPr>
            <w:r>
              <w:rPr/>
              <w:t> </w:t>
            </w:r>
          </w:p>
        </w:tc>
        <w:tc>
          <w:tcPr>
            <w:tcW w:w="919"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1" w:type="dxa"/>
            <w:tcBorders/>
            <w:shd w:fill="FFFFFF" w:val="clear"/>
            <w:tcMar>
              <w:bottom w:w="0" w:type="dxa"/>
            </w:tcMar>
            <w:vAlign w:val="center"/>
          </w:tcPr>
          <w:p>
            <w:pPr>
              <w:pStyle w:val="TableContents"/>
              <w:bidi w:val="0"/>
              <w:spacing w:before="0" w:after="283"/>
              <w:jc w:val="left"/>
              <w:rPr/>
            </w:pPr>
            <w:r>
              <w:rPr/>
              <w:t> </w:t>
            </w:r>
          </w:p>
        </w:tc>
      </w:tr>
      <w:tr>
        <w:trPr/>
        <w:tc>
          <w:tcPr>
            <w:tcW w:w="1822"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Rault, Michel</w:t>
            </w:r>
          </w:p>
        </w:tc>
        <w:tc>
          <w:tcPr>
            <w:tcW w:w="60" w:type="dxa"/>
            <w:tcBorders/>
            <w:shd w:fill="CCEEFF" w:val="clear"/>
            <w:tcMar>
              <w:bottom w:w="0" w:type="dxa"/>
            </w:tcMar>
            <w:vAlign w:val="center"/>
          </w:tcPr>
          <w:p>
            <w:pPr>
              <w:pStyle w:val="TableContents"/>
              <w:bidi w:val="0"/>
              <w:spacing w:before="0" w:after="283"/>
              <w:jc w:val="left"/>
              <w:rPr/>
            </w:pPr>
            <w:r>
              <w:rPr/>
              <w:t> </w:t>
            </w:r>
          </w:p>
        </w:tc>
        <w:tc>
          <w:tcPr>
            <w:tcW w:w="85" w:type="dxa"/>
            <w:tcBorders/>
            <w:shd w:fill="CCEEFF" w:val="clear"/>
            <w:tcMar>
              <w:bottom w:w="0" w:type="dxa"/>
            </w:tcMar>
            <w:vAlign w:val="center"/>
          </w:tcPr>
          <w:p>
            <w:pPr>
              <w:pStyle w:val="TableContents"/>
              <w:bidi w:val="0"/>
              <w:spacing w:before="0" w:after="283"/>
              <w:jc w:val="left"/>
              <w:rPr/>
            </w:pPr>
            <w:r>
              <w:rPr/>
              <w:t> </w:t>
            </w:r>
          </w:p>
        </w:tc>
        <w:tc>
          <w:tcPr>
            <w:tcW w:w="1396"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8" w:type="dxa"/>
            <w:tcBorders/>
            <w:shd w:fill="CCEEFF" w:val="clear"/>
            <w:tcMar>
              <w:bottom w:w="0" w:type="dxa"/>
            </w:tcMar>
            <w:vAlign w:val="center"/>
          </w:tcPr>
          <w:p>
            <w:pPr>
              <w:pStyle w:val="TableContents"/>
              <w:bidi w:val="0"/>
              <w:spacing w:before="0" w:after="283"/>
              <w:jc w:val="left"/>
              <w:rPr/>
            </w:pPr>
            <w:r>
              <w:rPr/>
              <w:t> </w:t>
            </w:r>
          </w:p>
        </w:tc>
        <w:tc>
          <w:tcPr>
            <w:tcW w:w="1168"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9" w:type="dxa"/>
            <w:tcBorders/>
            <w:shd w:fill="CCEEFF" w:val="clear"/>
            <w:tcMar>
              <w:bottom w:w="0" w:type="dxa"/>
            </w:tcMar>
            <w:vAlign w:val="center"/>
          </w:tcPr>
          <w:p>
            <w:pPr>
              <w:pStyle w:val="TableContents"/>
              <w:bidi w:val="0"/>
              <w:spacing w:before="0" w:after="283"/>
              <w:jc w:val="left"/>
              <w:rPr/>
            </w:pPr>
            <w:r>
              <w:rPr/>
              <w:t> </w:t>
            </w:r>
          </w:p>
        </w:tc>
        <w:tc>
          <w:tcPr>
            <w:tcW w:w="1792"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3" w:type="dxa"/>
            <w:tcBorders/>
            <w:shd w:fill="CCEEFF" w:val="clear"/>
            <w:tcMar>
              <w:bottom w:w="0" w:type="dxa"/>
            </w:tcMar>
            <w:vAlign w:val="center"/>
          </w:tcPr>
          <w:p>
            <w:pPr>
              <w:pStyle w:val="TableContents"/>
              <w:bidi w:val="0"/>
              <w:spacing w:before="0" w:after="283"/>
              <w:jc w:val="left"/>
              <w:rPr/>
            </w:pPr>
            <w:r>
              <w:rPr/>
              <w:t> </w:t>
            </w:r>
          </w:p>
        </w:tc>
        <w:tc>
          <w:tcPr>
            <w:tcW w:w="1434"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93" w:type="dxa"/>
            <w:tcBorders/>
            <w:shd w:fill="CCEEFF" w:val="clear"/>
            <w:tcMar>
              <w:bottom w:w="0" w:type="dxa"/>
            </w:tcMar>
            <w:vAlign w:val="center"/>
          </w:tcPr>
          <w:p>
            <w:pPr>
              <w:pStyle w:val="TableContents"/>
              <w:bidi w:val="0"/>
              <w:spacing w:before="0" w:after="283"/>
              <w:jc w:val="left"/>
              <w:rPr/>
            </w:pPr>
            <w:r>
              <w:rPr/>
              <w:t> </w:t>
            </w:r>
          </w:p>
        </w:tc>
        <w:tc>
          <w:tcPr>
            <w:tcW w:w="919"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1" w:type="dxa"/>
            <w:tcBorders/>
            <w:shd w:fill="CCEEFF" w:val="clear"/>
            <w:tcMar>
              <w:bottom w:w="0" w:type="dxa"/>
            </w:tcMar>
            <w:vAlign w:val="center"/>
          </w:tcPr>
          <w:p>
            <w:pPr>
              <w:pStyle w:val="TableContents"/>
              <w:bidi w:val="0"/>
              <w:spacing w:before="0" w:after="283"/>
              <w:jc w:val="left"/>
              <w:rPr/>
            </w:pPr>
            <w:r>
              <w:rPr/>
              <w:t> </w:t>
            </w:r>
          </w:p>
        </w:tc>
      </w:tr>
      <w:tr>
        <w:trPr/>
        <w:tc>
          <w:tcPr>
            <w:tcW w:w="1822"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SARL LBLI</w:t>
            </w:r>
            <w:r>
              <w:rPr>
                <w:rFonts w:ascii="Times New Roman;Times;Serif" w:hAnsi="Times New Roman;Times;Serif"/>
                <w:position w:val="7"/>
                <w:sz w:val="16"/>
                <w:sz w:val="20"/>
              </w:rPr>
              <w:t>(27)</w:t>
            </w:r>
          </w:p>
        </w:tc>
        <w:tc>
          <w:tcPr>
            <w:tcW w:w="60" w:type="dxa"/>
            <w:tcBorders/>
            <w:shd w:fill="FFFFFF" w:val="clear"/>
            <w:tcMar>
              <w:bottom w:w="0" w:type="dxa"/>
            </w:tcMar>
            <w:vAlign w:val="center"/>
          </w:tcPr>
          <w:p>
            <w:pPr>
              <w:pStyle w:val="TableContents"/>
              <w:bidi w:val="0"/>
              <w:spacing w:before="0" w:after="283"/>
              <w:jc w:val="left"/>
              <w:rPr/>
            </w:pPr>
            <w:r>
              <w:rPr/>
              <w:t> </w:t>
            </w:r>
          </w:p>
        </w:tc>
        <w:tc>
          <w:tcPr>
            <w:tcW w:w="85" w:type="dxa"/>
            <w:tcBorders/>
            <w:shd w:fill="FFFFFF" w:val="clear"/>
            <w:tcMar>
              <w:bottom w:w="0" w:type="dxa"/>
            </w:tcMar>
            <w:vAlign w:val="center"/>
          </w:tcPr>
          <w:p>
            <w:pPr>
              <w:pStyle w:val="TableContents"/>
              <w:bidi w:val="0"/>
              <w:spacing w:before="0" w:after="283"/>
              <w:jc w:val="left"/>
              <w:rPr/>
            </w:pPr>
            <w:r>
              <w:rPr/>
              <w:t> </w:t>
            </w:r>
          </w:p>
        </w:tc>
        <w:tc>
          <w:tcPr>
            <w:tcW w:w="1396"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526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8" w:type="dxa"/>
            <w:tcBorders/>
            <w:shd w:fill="FFFFFF" w:val="clear"/>
            <w:tcMar>
              <w:bottom w:w="0" w:type="dxa"/>
            </w:tcMar>
            <w:vAlign w:val="center"/>
          </w:tcPr>
          <w:p>
            <w:pPr>
              <w:pStyle w:val="TableContents"/>
              <w:bidi w:val="0"/>
              <w:spacing w:before="0" w:after="283"/>
              <w:jc w:val="left"/>
              <w:rPr/>
            </w:pPr>
            <w:r>
              <w:rPr/>
              <w:t> </w:t>
            </w:r>
          </w:p>
        </w:tc>
        <w:tc>
          <w:tcPr>
            <w:tcW w:w="1168"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9" w:type="dxa"/>
            <w:tcBorders/>
            <w:shd w:fill="FFFFFF" w:val="clear"/>
            <w:tcMar>
              <w:bottom w:w="0" w:type="dxa"/>
            </w:tcMar>
            <w:vAlign w:val="center"/>
          </w:tcPr>
          <w:p>
            <w:pPr>
              <w:pStyle w:val="TableContents"/>
              <w:bidi w:val="0"/>
              <w:spacing w:before="0" w:after="283"/>
              <w:jc w:val="left"/>
              <w:rPr/>
            </w:pPr>
            <w:r>
              <w:rPr/>
              <w:t> </w:t>
            </w:r>
          </w:p>
        </w:tc>
        <w:tc>
          <w:tcPr>
            <w:tcW w:w="1792"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3,401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3" w:type="dxa"/>
            <w:tcBorders/>
            <w:shd w:fill="FFFFFF" w:val="clear"/>
            <w:tcMar>
              <w:bottom w:w="0" w:type="dxa"/>
            </w:tcMar>
            <w:vAlign w:val="center"/>
          </w:tcPr>
          <w:p>
            <w:pPr>
              <w:pStyle w:val="TableContents"/>
              <w:bidi w:val="0"/>
              <w:spacing w:before="0" w:after="283"/>
              <w:jc w:val="left"/>
              <w:rPr/>
            </w:pPr>
            <w:r>
              <w:rPr/>
              <w:t> </w:t>
            </w:r>
          </w:p>
        </w:tc>
        <w:tc>
          <w:tcPr>
            <w:tcW w:w="1434"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93" w:type="dxa"/>
            <w:tcBorders/>
            <w:shd w:fill="FFFFFF" w:val="clear"/>
            <w:tcMar>
              <w:bottom w:w="0" w:type="dxa"/>
            </w:tcMar>
            <w:vAlign w:val="center"/>
          </w:tcPr>
          <w:p>
            <w:pPr>
              <w:pStyle w:val="TableContents"/>
              <w:bidi w:val="0"/>
              <w:spacing w:before="0" w:after="283"/>
              <w:jc w:val="left"/>
              <w:rPr/>
            </w:pPr>
            <w:r>
              <w:rPr/>
              <w:t> </w:t>
            </w:r>
          </w:p>
        </w:tc>
        <w:tc>
          <w:tcPr>
            <w:tcW w:w="919"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1" w:type="dxa"/>
            <w:tcBorders/>
            <w:shd w:fill="FFFFFF" w:val="clear"/>
            <w:tcMar>
              <w:bottom w:w="0" w:type="dxa"/>
            </w:tcMar>
            <w:vAlign w:val="center"/>
          </w:tcPr>
          <w:p>
            <w:pPr>
              <w:pStyle w:val="TableContents"/>
              <w:bidi w:val="0"/>
              <w:spacing w:before="0" w:after="283"/>
              <w:jc w:val="left"/>
              <w:rPr/>
            </w:pPr>
            <w:r>
              <w:rPr/>
              <w:t> </w:t>
            </w:r>
          </w:p>
        </w:tc>
      </w:tr>
      <w:tr>
        <w:trPr/>
        <w:tc>
          <w:tcPr>
            <w:tcW w:w="1822"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Tréfoil Investments s.à.r.l</w:t>
            </w:r>
            <w:r>
              <w:rPr>
                <w:rFonts w:ascii="Times New Roman;Times;Serif" w:hAnsi="Times New Roman;Times;Serif"/>
                <w:position w:val="7"/>
                <w:sz w:val="16"/>
                <w:sz w:val="20"/>
              </w:rPr>
              <w:t>.(28)</w:t>
            </w:r>
          </w:p>
        </w:tc>
        <w:tc>
          <w:tcPr>
            <w:tcW w:w="60" w:type="dxa"/>
            <w:tcBorders/>
            <w:shd w:fill="CCEEFF" w:val="clear"/>
            <w:tcMar>
              <w:bottom w:w="0" w:type="dxa"/>
            </w:tcMar>
            <w:vAlign w:val="center"/>
          </w:tcPr>
          <w:p>
            <w:pPr>
              <w:pStyle w:val="TableContents"/>
              <w:bidi w:val="0"/>
              <w:spacing w:before="0" w:after="283"/>
              <w:jc w:val="left"/>
              <w:rPr/>
            </w:pPr>
            <w:r>
              <w:rPr/>
              <w:t> </w:t>
            </w:r>
          </w:p>
        </w:tc>
        <w:tc>
          <w:tcPr>
            <w:tcW w:w="85" w:type="dxa"/>
            <w:tcBorders/>
            <w:shd w:fill="CCEEFF" w:val="clear"/>
            <w:tcMar>
              <w:bottom w:w="0" w:type="dxa"/>
            </w:tcMar>
            <w:vAlign w:val="center"/>
          </w:tcPr>
          <w:p>
            <w:pPr>
              <w:pStyle w:val="TableContents"/>
              <w:bidi w:val="0"/>
              <w:spacing w:before="0" w:after="283"/>
              <w:jc w:val="left"/>
              <w:rPr/>
            </w:pPr>
            <w:r>
              <w:rPr/>
              <w:t> </w:t>
            </w:r>
          </w:p>
        </w:tc>
        <w:tc>
          <w:tcPr>
            <w:tcW w:w="1396"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82,546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8" w:type="dxa"/>
            <w:tcBorders/>
            <w:shd w:fill="CCEEFF" w:val="clear"/>
            <w:tcMar>
              <w:bottom w:w="0" w:type="dxa"/>
            </w:tcMar>
            <w:vAlign w:val="center"/>
          </w:tcPr>
          <w:p>
            <w:pPr>
              <w:pStyle w:val="TableContents"/>
              <w:bidi w:val="0"/>
              <w:spacing w:before="0" w:after="283"/>
              <w:jc w:val="left"/>
              <w:rPr/>
            </w:pPr>
            <w:r>
              <w:rPr/>
              <w:t> </w:t>
            </w:r>
          </w:p>
        </w:tc>
        <w:tc>
          <w:tcPr>
            <w:tcW w:w="1168"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9" w:type="dxa"/>
            <w:tcBorders/>
            <w:shd w:fill="CCEEFF" w:val="clear"/>
            <w:tcMar>
              <w:bottom w:w="0" w:type="dxa"/>
            </w:tcMar>
            <w:vAlign w:val="center"/>
          </w:tcPr>
          <w:p>
            <w:pPr>
              <w:pStyle w:val="TableContents"/>
              <w:bidi w:val="0"/>
              <w:spacing w:before="0" w:after="283"/>
              <w:jc w:val="left"/>
              <w:rPr/>
            </w:pPr>
            <w:r>
              <w:rPr/>
              <w:t> </w:t>
            </w:r>
          </w:p>
        </w:tc>
        <w:tc>
          <w:tcPr>
            <w:tcW w:w="1792"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526,313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3" w:type="dxa"/>
            <w:tcBorders/>
            <w:shd w:fill="CCEEFF" w:val="clear"/>
            <w:tcMar>
              <w:bottom w:w="0" w:type="dxa"/>
            </w:tcMar>
            <w:vAlign w:val="center"/>
          </w:tcPr>
          <w:p>
            <w:pPr>
              <w:pStyle w:val="TableContents"/>
              <w:bidi w:val="0"/>
              <w:spacing w:before="0" w:after="283"/>
              <w:jc w:val="left"/>
              <w:rPr/>
            </w:pPr>
            <w:r>
              <w:rPr/>
              <w:t> </w:t>
            </w:r>
          </w:p>
        </w:tc>
        <w:tc>
          <w:tcPr>
            <w:tcW w:w="1434"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93" w:type="dxa"/>
            <w:tcBorders/>
            <w:shd w:fill="CCEEFF" w:val="clear"/>
            <w:tcMar>
              <w:bottom w:w="0" w:type="dxa"/>
            </w:tcMar>
            <w:vAlign w:val="center"/>
          </w:tcPr>
          <w:p>
            <w:pPr>
              <w:pStyle w:val="TableContents"/>
              <w:bidi w:val="0"/>
              <w:spacing w:before="0" w:after="283"/>
              <w:jc w:val="left"/>
              <w:rPr/>
            </w:pPr>
            <w:r>
              <w:rPr/>
              <w:t> </w:t>
            </w:r>
          </w:p>
        </w:tc>
        <w:tc>
          <w:tcPr>
            <w:tcW w:w="919"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1" w:type="dxa"/>
            <w:tcBorders/>
            <w:shd w:fill="CCEEFF" w:val="clear"/>
            <w:tcMar>
              <w:bottom w:w="0" w:type="dxa"/>
            </w:tcMar>
            <w:vAlign w:val="center"/>
          </w:tcPr>
          <w:p>
            <w:pPr>
              <w:pStyle w:val="TableContents"/>
              <w:bidi w:val="0"/>
              <w:spacing w:before="0" w:after="283"/>
              <w:jc w:val="left"/>
              <w:rPr/>
            </w:pPr>
            <w:r>
              <w:rPr/>
              <w:t> </w:t>
            </w:r>
          </w:p>
        </w:tc>
      </w:tr>
      <w:tr>
        <w:trPr/>
        <w:tc>
          <w:tcPr>
            <w:tcW w:w="1822"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Tuspark Technology Investment Europe s.à.r.l.</w:t>
            </w:r>
            <w:r>
              <w:rPr>
                <w:rFonts w:ascii="Times New Roman;Times;Serif" w:hAnsi="Times New Roman;Times;Serif"/>
                <w:position w:val="7"/>
                <w:sz w:val="16"/>
                <w:sz w:val="20"/>
              </w:rPr>
              <w:t>(29)</w:t>
            </w:r>
          </w:p>
        </w:tc>
        <w:tc>
          <w:tcPr>
            <w:tcW w:w="60" w:type="dxa"/>
            <w:tcBorders/>
            <w:shd w:fill="FFFFFF" w:val="clear"/>
            <w:tcMar>
              <w:bottom w:w="0" w:type="dxa"/>
            </w:tcMar>
            <w:vAlign w:val="center"/>
          </w:tcPr>
          <w:p>
            <w:pPr>
              <w:pStyle w:val="TableContents"/>
              <w:bidi w:val="0"/>
              <w:spacing w:before="0" w:after="283"/>
              <w:jc w:val="left"/>
              <w:rPr/>
            </w:pPr>
            <w:r>
              <w:rPr/>
              <w:t> </w:t>
            </w:r>
          </w:p>
        </w:tc>
        <w:tc>
          <w:tcPr>
            <w:tcW w:w="85" w:type="dxa"/>
            <w:tcBorders/>
            <w:shd w:fill="FFFFFF" w:val="clear"/>
            <w:tcMar>
              <w:bottom w:w="0" w:type="dxa"/>
            </w:tcMar>
            <w:vAlign w:val="center"/>
          </w:tcPr>
          <w:p>
            <w:pPr>
              <w:pStyle w:val="TableContents"/>
              <w:bidi w:val="0"/>
              <w:spacing w:before="0" w:after="283"/>
              <w:jc w:val="left"/>
              <w:rPr/>
            </w:pPr>
            <w:r>
              <w:rPr/>
              <w:t> </w:t>
            </w:r>
          </w:p>
        </w:tc>
        <w:tc>
          <w:tcPr>
            <w:tcW w:w="1396"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9,130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8" w:type="dxa"/>
            <w:tcBorders/>
            <w:shd w:fill="FFFFFF" w:val="clear"/>
            <w:tcMar>
              <w:bottom w:w="0" w:type="dxa"/>
            </w:tcMar>
            <w:vAlign w:val="center"/>
          </w:tcPr>
          <w:p>
            <w:pPr>
              <w:pStyle w:val="TableContents"/>
              <w:bidi w:val="0"/>
              <w:spacing w:before="0" w:after="283"/>
              <w:jc w:val="left"/>
              <w:rPr/>
            </w:pPr>
            <w:r>
              <w:rPr/>
              <w:t> </w:t>
            </w:r>
          </w:p>
        </w:tc>
        <w:tc>
          <w:tcPr>
            <w:tcW w:w="1168"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9" w:type="dxa"/>
            <w:tcBorders/>
            <w:shd w:fill="FFFFFF" w:val="clear"/>
            <w:tcMar>
              <w:bottom w:w="0" w:type="dxa"/>
            </w:tcMar>
            <w:vAlign w:val="center"/>
          </w:tcPr>
          <w:p>
            <w:pPr>
              <w:pStyle w:val="TableContents"/>
              <w:bidi w:val="0"/>
              <w:spacing w:before="0" w:after="283"/>
              <w:jc w:val="left"/>
              <w:rPr/>
            </w:pPr>
            <w:r>
              <w:rPr/>
              <w:t> </w:t>
            </w:r>
          </w:p>
        </w:tc>
        <w:tc>
          <w:tcPr>
            <w:tcW w:w="1792"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58,216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3" w:type="dxa"/>
            <w:tcBorders/>
            <w:shd w:fill="FFFFFF" w:val="clear"/>
            <w:tcMar>
              <w:bottom w:w="0" w:type="dxa"/>
            </w:tcMar>
            <w:vAlign w:val="center"/>
          </w:tcPr>
          <w:p>
            <w:pPr>
              <w:pStyle w:val="TableContents"/>
              <w:bidi w:val="0"/>
              <w:spacing w:before="0" w:after="283"/>
              <w:jc w:val="left"/>
              <w:rPr/>
            </w:pPr>
            <w:r>
              <w:rPr/>
              <w:t> </w:t>
            </w:r>
          </w:p>
        </w:tc>
        <w:tc>
          <w:tcPr>
            <w:tcW w:w="1434"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93" w:type="dxa"/>
            <w:tcBorders/>
            <w:shd w:fill="FFFFFF" w:val="clear"/>
            <w:tcMar>
              <w:bottom w:w="0" w:type="dxa"/>
            </w:tcMar>
            <w:vAlign w:val="center"/>
          </w:tcPr>
          <w:p>
            <w:pPr>
              <w:pStyle w:val="TableContents"/>
              <w:bidi w:val="0"/>
              <w:spacing w:before="0" w:after="283"/>
              <w:jc w:val="left"/>
              <w:rPr/>
            </w:pPr>
            <w:r>
              <w:rPr/>
              <w:t> </w:t>
            </w:r>
          </w:p>
        </w:tc>
        <w:tc>
          <w:tcPr>
            <w:tcW w:w="919"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1" w:type="dxa"/>
            <w:tcBorders/>
            <w:shd w:fill="FFFFFF" w:val="clear"/>
            <w:tcMar>
              <w:bottom w:w="0" w:type="dxa"/>
            </w:tcMar>
            <w:vAlign w:val="center"/>
          </w:tcPr>
          <w:p>
            <w:pPr>
              <w:pStyle w:val="TableContents"/>
              <w:bidi w:val="0"/>
              <w:spacing w:before="0" w:after="283"/>
              <w:jc w:val="left"/>
              <w:rPr/>
            </w:pPr>
            <w:r>
              <w:rPr/>
              <w:t> </w:t>
            </w:r>
          </w:p>
        </w:tc>
      </w:tr>
      <w:tr>
        <w:trPr/>
        <w:tc>
          <w:tcPr>
            <w:tcW w:w="1822"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Waterstart Capital </w:t>
            </w:r>
            <w:r>
              <w:rPr>
                <w:rFonts w:ascii="Times New Roman;Times;Serif" w:hAnsi="Times New Roman;Times;Serif"/>
                <w:position w:val="7"/>
                <w:sz w:val="16"/>
                <w:sz w:val="20"/>
              </w:rPr>
              <w:t>(30)</w:t>
            </w:r>
          </w:p>
        </w:tc>
        <w:tc>
          <w:tcPr>
            <w:tcW w:w="60" w:type="dxa"/>
            <w:tcBorders/>
            <w:shd w:fill="CCEEFF" w:val="clear"/>
            <w:tcMar>
              <w:bottom w:w="0" w:type="dxa"/>
            </w:tcMar>
            <w:vAlign w:val="center"/>
          </w:tcPr>
          <w:p>
            <w:pPr>
              <w:pStyle w:val="TableContents"/>
              <w:bidi w:val="0"/>
              <w:spacing w:before="0" w:after="283"/>
              <w:jc w:val="left"/>
              <w:rPr/>
            </w:pPr>
            <w:r>
              <w:rPr/>
              <w:t> </w:t>
            </w:r>
          </w:p>
        </w:tc>
        <w:tc>
          <w:tcPr>
            <w:tcW w:w="85" w:type="dxa"/>
            <w:tcBorders/>
            <w:shd w:fill="CCEEFF" w:val="clear"/>
            <w:tcMar>
              <w:bottom w:w="0" w:type="dxa"/>
            </w:tcMar>
            <w:vAlign w:val="center"/>
          </w:tcPr>
          <w:p>
            <w:pPr>
              <w:pStyle w:val="TableContents"/>
              <w:bidi w:val="0"/>
              <w:spacing w:before="0" w:after="283"/>
              <w:jc w:val="left"/>
              <w:rPr/>
            </w:pPr>
            <w:r>
              <w:rPr/>
              <w:t> </w:t>
            </w:r>
          </w:p>
        </w:tc>
        <w:tc>
          <w:tcPr>
            <w:tcW w:w="1396"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75,884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8" w:type="dxa"/>
            <w:tcBorders/>
            <w:shd w:fill="CCEEFF" w:val="clear"/>
            <w:tcMar>
              <w:bottom w:w="0" w:type="dxa"/>
            </w:tcMar>
            <w:vAlign w:val="center"/>
          </w:tcPr>
          <w:p>
            <w:pPr>
              <w:pStyle w:val="TableContents"/>
              <w:bidi w:val="0"/>
              <w:spacing w:before="0" w:after="283"/>
              <w:jc w:val="left"/>
              <w:rPr/>
            </w:pPr>
            <w:r>
              <w:rPr/>
              <w:t> </w:t>
            </w:r>
          </w:p>
        </w:tc>
        <w:tc>
          <w:tcPr>
            <w:tcW w:w="1168"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9" w:type="dxa"/>
            <w:tcBorders/>
            <w:shd w:fill="CCEEFF" w:val="clear"/>
            <w:tcMar>
              <w:bottom w:w="0" w:type="dxa"/>
            </w:tcMar>
            <w:vAlign w:val="center"/>
          </w:tcPr>
          <w:p>
            <w:pPr>
              <w:pStyle w:val="TableContents"/>
              <w:bidi w:val="0"/>
              <w:spacing w:before="0" w:after="283"/>
              <w:jc w:val="left"/>
              <w:rPr/>
            </w:pPr>
            <w:r>
              <w:rPr/>
              <w:t> </w:t>
            </w:r>
          </w:p>
        </w:tc>
        <w:tc>
          <w:tcPr>
            <w:tcW w:w="1792"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494,661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3" w:type="dxa"/>
            <w:tcBorders/>
            <w:shd w:fill="CCEEFF" w:val="clear"/>
            <w:tcMar>
              <w:bottom w:w="0" w:type="dxa"/>
            </w:tcMar>
            <w:vAlign w:val="center"/>
          </w:tcPr>
          <w:p>
            <w:pPr>
              <w:pStyle w:val="TableContents"/>
              <w:bidi w:val="0"/>
              <w:spacing w:before="0" w:after="283"/>
              <w:jc w:val="left"/>
              <w:rPr/>
            </w:pPr>
            <w:r>
              <w:rPr/>
              <w:t> </w:t>
            </w:r>
          </w:p>
        </w:tc>
        <w:tc>
          <w:tcPr>
            <w:tcW w:w="1434"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93" w:type="dxa"/>
            <w:tcBorders/>
            <w:shd w:fill="CCEEFF" w:val="clear"/>
            <w:tcMar>
              <w:bottom w:w="0" w:type="dxa"/>
            </w:tcMar>
            <w:vAlign w:val="center"/>
          </w:tcPr>
          <w:p>
            <w:pPr>
              <w:pStyle w:val="TableContents"/>
              <w:bidi w:val="0"/>
              <w:spacing w:before="0" w:after="283"/>
              <w:jc w:val="left"/>
              <w:rPr/>
            </w:pPr>
            <w:r>
              <w:rPr/>
              <w:t> </w:t>
            </w:r>
          </w:p>
        </w:tc>
        <w:tc>
          <w:tcPr>
            <w:tcW w:w="919"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1"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Indicates ownership of less than 1%</w:t>
      </w:r>
    </w:p>
    <w:p>
      <w:pPr>
        <w:pStyle w:val="TextBody"/>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10</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10"/>
        <w:gridCol w:w="9895"/>
      </w:tblGrid>
      <w:tr>
        <w:trPr/>
        <w:tc>
          <w:tcPr>
            <w:tcW w:w="3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8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Consists of Closing Shares issued in connection with the Robocath acquisition, except where noted otherwise in the footnotes below.</w:t>
            </w:r>
          </w:p>
        </w:tc>
      </w:tr>
      <w:tr>
        <w:trPr/>
        <w:tc>
          <w:tcPr>
            <w:tcW w:w="3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8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Consists of shares of common stock issued and issuable in connection with the Robocath acquisition, including an estimate of Earnout Shares issuable to the Selling Stockholders upon achievement of the Regulatory Milestone and/or the Commercial Milestones, except where noted otherwise in the footnotes below.</w:t>
            </w:r>
          </w:p>
        </w:tc>
      </w:tr>
      <w:tr>
        <w:trPr/>
        <w:tc>
          <w:tcPr>
            <w:tcW w:w="3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8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Assumes the sale of all shares offered hereby and that the Selling Stockholders do not acquire beneficial ownership of any additional shares of our common stock other than the Closing Shares or the Earnout Shares.</w:t>
            </w:r>
          </w:p>
        </w:tc>
      </w:tr>
      <w:tr>
        <w:trPr/>
        <w:tc>
          <w:tcPr>
            <w:tcW w:w="3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8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Arnaud Mustiere, the manager of A.M. Developpement, a French </w:t>
            </w:r>
            <w:r>
              <w:rPr>
                <w:rFonts w:ascii="Times New Roman;Times;Serif" w:hAnsi="Times New Roman;Times;Serif"/>
                <w:b w:val="false"/>
                <w:i/>
                <w:caps w:val="false"/>
                <w:smallCaps w:val="false"/>
                <w:sz w:val="20"/>
              </w:rPr>
              <w:t xml:space="preserve">société à responsabilité limitée, </w:t>
            </w:r>
            <w:r>
              <w:rPr>
                <w:rFonts w:ascii="Times New Roman;Times;Serif" w:hAnsi="Times New Roman;Times;Serif"/>
                <w:b w:val="false"/>
                <w:i w:val="false"/>
                <w:caps w:val="false"/>
                <w:smallCaps w:val="false"/>
                <w:sz w:val="20"/>
              </w:rPr>
              <w:t>has investment and voting control over the securities held by A.M. Developpement.</w:t>
            </w:r>
          </w:p>
        </w:tc>
      </w:tr>
      <w:tr>
        <w:trPr/>
        <w:tc>
          <w:tcPr>
            <w:tcW w:w="3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98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Agile Capital Development SAS, a French société par actions simplifiée, served as Robocath’s financial advisor in connection with the Acquisition. The shares of common stock beneficially owned by Agile Capital Development SAS consist of 225,000 Closing Shares issued as partial payment of a success fee for acquisition advisory services rendered to Robocath and its Securityholders in connection with the Acquisition. The shares of common stock being offered on behalf of Agile Capital Development SAS also include additional shares of common stock that may be issuable to Agile Capital Development SAS as additional fees upon payment of earnout consideration to the Securityholders pursuant to the Share Sale Agreement. Agile Capital Development SAS is managed by ECV Cofel Holding, a French société à responsabilité limitée. Eric Cohen, President of Agile Capital Development SAS, has investment and voting control over the securities held by Agile Capital Development SAS.</w:t>
            </w:r>
          </w:p>
        </w:tc>
      </w:tr>
      <w:tr>
        <w:trPr/>
        <w:tc>
          <w:tcPr>
            <w:tcW w:w="3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989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CADEIS, a French société par actions simplifiée, is managed by NEDEIS, a French société par actions simplifiée, and the Georgeault family. Gerard Georgeault, the CEO of CADEIS, has investment and voting control over the securities held by CADEIS.</w:t>
            </w:r>
          </w:p>
        </w:tc>
      </w:tr>
      <w:tr>
        <w:trPr/>
        <w:tc>
          <w:tcPr>
            <w:tcW w:w="3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98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Georges-David Medina, the Chairman of Cardio Participations, a French société par actions simplifiée, has investment and voting control over the securities held by Cardio Participations.</w:t>
            </w:r>
          </w:p>
        </w:tc>
      </w:tr>
      <w:tr>
        <w:trPr/>
        <w:tc>
          <w:tcPr>
            <w:tcW w:w="3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c>
          <w:tcPr>
            <w:tcW w:w="98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CEN Innovation is owned by Caisse d’Epargne et de Prévoyance Normandie. Christine Dropsy, a member of the management board of Caisse d’Epargne et de Prévoyance Normandie, has investment and voting control over the securities held by CEN Innovation. </w:t>
            </w:r>
          </w:p>
        </w:tc>
      </w:tr>
      <w:tr>
        <w:trPr/>
        <w:tc>
          <w:tcPr>
            <w:tcW w:w="3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c>
          <w:tcPr>
            <w:tcW w:w="98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Supernova Invest, a French société par actions simplifiée, is the management company of Crédit Agricole Innovations &amp; Territoires. Each of Pierre-Emmanuel Stuyven, President of Supernova Invest, and Régis Saleur, Director General of Supernova Invest, has investment and voting control over the securities held by Crédit Agricole Innovations &amp; Territoires.</w:t>
            </w:r>
          </w:p>
        </w:tc>
      </w:tr>
      <w:tr>
        <w:trPr/>
        <w:tc>
          <w:tcPr>
            <w:tcW w:w="3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c>
          <w:tcPr>
            <w:tcW w:w="98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Croissance Et Proximite 2, a French fonds </w:t>
            </w:r>
            <w:r>
              <w:rPr>
                <w:rFonts w:ascii="Times New Roman;Times;Serif" w:hAnsi="Times New Roman;Times;Serif"/>
                <w:b w:val="false"/>
                <w:i/>
                <w:caps w:val="false"/>
                <w:smallCaps w:val="false"/>
                <w:sz w:val="20"/>
              </w:rPr>
              <w:t>professionnel de capital investissement</w:t>
            </w:r>
            <w:r>
              <w:rPr>
                <w:rFonts w:ascii="Times New Roman;Times;Serif" w:hAnsi="Times New Roman;Times;Serif"/>
                <w:b w:val="false"/>
                <w:i w:val="false"/>
                <w:caps w:val="false"/>
                <w:smallCaps w:val="false"/>
                <w:sz w:val="20"/>
              </w:rPr>
              <w:t xml:space="preserve">, is managed by NCI, a French </w:t>
            </w:r>
            <w:r>
              <w:rPr>
                <w:rFonts w:ascii="Times New Roman;Times;Serif" w:hAnsi="Times New Roman;Times;Serif"/>
                <w:b w:val="false"/>
                <w:i/>
                <w:caps w:val="false"/>
                <w:smallCaps w:val="false"/>
                <w:sz w:val="20"/>
              </w:rPr>
              <w:t>société par actions simplifiée</w:t>
            </w:r>
            <w:r>
              <w:rPr>
                <w:rFonts w:ascii="Times New Roman;Times;Serif" w:hAnsi="Times New Roman;Times;Serif"/>
                <w:b w:val="false"/>
                <w:i w:val="false"/>
                <w:caps w:val="false"/>
                <w:smallCaps w:val="false"/>
                <w:sz w:val="20"/>
              </w:rPr>
              <w:t>, which is owned by Les Cadres Investisseurs. Les Cadres Investisseurs is owned by Alta. Alta is owned by PARTAG, Kerinvest, Stéphane Kerlo, PERSADEV, Vincent Lhermenier, and Yves Guiol. PARTAG is owned by Anne-Cécile Guitton, Kerinvest is controlled by Stéphane Kerlo, and PERSADEV is owned by Hubert de Germay. Anne-Cécile Guitton, President of NCI, Stéphane Kerlo, CEO of NCI, and Yves Guiol, Partner of NCI, have investment and voting control over the securities held by Croissance Et Proximite 2.</w:t>
            </w:r>
          </w:p>
        </w:tc>
      </w:tr>
      <w:tr>
        <w:trPr/>
        <w:tc>
          <w:tcPr>
            <w:tcW w:w="3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c>
          <w:tcPr>
            <w:tcW w:w="98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Jianguo Sun and Jessica Chiu have investment and voting control over the securities held by CS Group (Holding) Ltd., a British Virgin Islands limited company. </w:t>
            </w:r>
          </w:p>
        </w:tc>
      </w:tr>
      <w:tr>
        <w:trPr/>
        <w:tc>
          <w:tcPr>
            <w:tcW w:w="3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c>
          <w:tcPr>
            <w:tcW w:w="98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shares of common stock being registered for resale on behalf of the European Investment Bank consist solely of shares issuable upon exercise of (i) Purchaser Warrants issued at the initial closing of the Share Sale Agreement on July 7, 2026 and (ii) Purchaser Warrants issuable in lieu of Earnout Shares upon achievement of the Regulatory and/or the Commercial Milestones. Pursuant to that certain Joinder Agreement to the Share Sale Agreement, dated as of July 7, 2026, by and among the European Investment Bank, Stereotaxis, and certain other selling stockholders, the European Investment Bank may become entitled to receive Purchaser Warrants to purchase additional Earnout Shares, the receipt of which would increase the total number of shares offered hereby by the European Investment Bank. In such case, the shares offered hereby by the other Selling Stockholders (other than Agile Capital Development SAS) would be reduced on a pro rata basis by the total number of additional shares underlying such Purchaser Warrants allocated to the European Investment Bank. The European Investment Bank is a financing institution created pursuant to the Treaty on the Functioning of the European Union.</w:t>
            </w:r>
          </w:p>
        </w:tc>
      </w:tr>
    </w:tbl>
    <w:p>
      <w:pPr>
        <w:pStyle w:val="TextBody"/>
        <w:bidi w:val="0"/>
        <w:spacing w:before="0" w:after="283"/>
        <w:jc w:val="left"/>
        <w:rPr/>
      </w:pPr>
      <w:r>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11</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14"/>
        <w:gridCol w:w="9891"/>
      </w:tblGrid>
      <w:tr>
        <w:trPr/>
        <w:tc>
          <w:tcPr>
            <w:tcW w:w="31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c>
          <w:tcPr>
            <w:tcW w:w="989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FACTOGEO is managed by NFACTORY INVEST, a French société en nom collectif. Alexandre Martini, Manager of NFACTORY INVEST, has investment and voting control over the securities held by FACTOGEO.</w:t>
            </w:r>
          </w:p>
        </w:tc>
      </w:tr>
      <w:tr>
        <w:trPr/>
        <w:tc>
          <w:tcPr>
            <w:tcW w:w="31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c>
          <w:tcPr>
            <w:tcW w:w="989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FCPI Amundi Private Equity Funds, a French </w:t>
            </w:r>
            <w:r>
              <w:rPr>
                <w:rFonts w:ascii="Times New Roman;Times;Serif" w:hAnsi="Times New Roman;Times;Serif"/>
                <w:b w:val="false"/>
                <w:i/>
                <w:caps w:val="false"/>
                <w:smallCaps w:val="false"/>
                <w:sz w:val="20"/>
              </w:rPr>
              <w:t>société anonyme</w:t>
            </w:r>
            <w:r>
              <w:rPr>
                <w:rFonts w:ascii="Times New Roman;Times;Serif" w:hAnsi="Times New Roman;Times;Serif"/>
                <w:b w:val="false"/>
                <w:i w:val="false"/>
                <w:caps w:val="false"/>
                <w:smallCaps w:val="false"/>
                <w:sz w:val="20"/>
              </w:rPr>
              <w:t xml:space="preserve"> is the management company of FCPI Amundi Avenir Innovation, a French </w:t>
            </w:r>
            <w:r>
              <w:rPr>
                <w:rFonts w:ascii="Times New Roman;Times;Serif" w:hAnsi="Times New Roman;Times;Serif"/>
                <w:b w:val="false"/>
                <w:i/>
                <w:caps w:val="false"/>
                <w:smallCaps w:val="false"/>
                <w:sz w:val="20"/>
              </w:rPr>
              <w:t>fonds commun de placement dans l’innovation</w:t>
            </w:r>
            <w:r>
              <w:rPr>
                <w:rFonts w:ascii="Times New Roman;Times;Serif" w:hAnsi="Times New Roman;Times;Serif"/>
                <w:b w:val="false"/>
                <w:i w:val="false"/>
                <w:caps w:val="false"/>
                <w:smallCaps w:val="false"/>
                <w:sz w:val="20"/>
              </w:rPr>
              <w:t>. The financial management of FCPI Amundi Avenir Innovation has been delegated to Supernova Invest a French société par actions simplifiée. Each of Pierre-Emmanuel Stuyven, President of Supernova Invest, and Régis Saleur, Director General of Supernova Invest, has investment and voting control over the securities held by FCPI Amundi Avenir Innovation, FCPI</w:t>
            </w:r>
          </w:p>
        </w:tc>
      </w:tr>
      <w:tr>
        <w:trPr/>
        <w:tc>
          <w:tcPr>
            <w:tcW w:w="31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c>
          <w:tcPr>
            <w:tcW w:w="989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Bertrand Distinguin has investment and voting control over the securities held by FCPI Go Capital Amorcage, a French </w:t>
            </w:r>
            <w:r>
              <w:rPr>
                <w:rFonts w:ascii="Times New Roman;Times;Serif" w:hAnsi="Times New Roman;Times;Serif"/>
                <w:b w:val="false"/>
                <w:i/>
                <w:caps w:val="false"/>
                <w:smallCaps w:val="false"/>
                <w:sz w:val="20"/>
              </w:rPr>
              <w:t>fonds professionel de capital investissement</w:t>
            </w:r>
            <w:r>
              <w:rPr>
                <w:rFonts w:ascii="Times New Roman;Times;Serif" w:hAnsi="Times New Roman;Times;Serif"/>
                <w:b w:val="false"/>
                <w:i w:val="false"/>
                <w:caps w:val="false"/>
                <w:smallCaps w:val="false"/>
                <w:sz w:val="20"/>
              </w:rPr>
              <w:t>.</w:t>
            </w:r>
          </w:p>
        </w:tc>
      </w:tr>
      <w:tr>
        <w:trPr/>
        <w:tc>
          <w:tcPr>
            <w:tcW w:w="31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w:t>
            </w:r>
          </w:p>
        </w:tc>
        <w:tc>
          <w:tcPr>
            <w:tcW w:w="989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FCPI Santé et Digital, a French </w:t>
            </w:r>
            <w:r>
              <w:rPr>
                <w:rFonts w:ascii="Times New Roman;Times;Serif" w:hAnsi="Times New Roman;Times;Serif"/>
                <w:b w:val="false"/>
                <w:i/>
                <w:caps w:val="false"/>
                <w:smallCaps w:val="false"/>
                <w:sz w:val="20"/>
              </w:rPr>
              <w:t>fonds commun de placement dans l’innovation,</w:t>
            </w:r>
            <w:r>
              <w:rPr>
                <w:rFonts w:ascii="Times New Roman;Times;Serif" w:hAnsi="Times New Roman;Times;Serif"/>
                <w:b w:val="false"/>
                <w:i w:val="false"/>
                <w:caps w:val="false"/>
                <w:smallCaps w:val="false"/>
                <w:sz w:val="20"/>
              </w:rPr>
              <w:t xml:space="preserve"> is managed by M Capital Partners. Florian Canivez has investment and voting control over the securities held by FCPI Santé et Digital.</w:t>
            </w:r>
          </w:p>
        </w:tc>
      </w:tr>
      <w:tr>
        <w:trPr/>
        <w:tc>
          <w:tcPr>
            <w:tcW w:w="31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c>
          <w:tcPr>
            <w:tcW w:w="989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FCPI Santé et Digital II, a French </w:t>
            </w:r>
            <w:r>
              <w:rPr>
                <w:rFonts w:ascii="Times New Roman;Times;Serif" w:hAnsi="Times New Roman;Times;Serif"/>
                <w:b w:val="false"/>
                <w:i/>
                <w:caps w:val="false"/>
                <w:smallCaps w:val="false"/>
                <w:sz w:val="20"/>
              </w:rPr>
              <w:t>fonds commun de placement dans l’innovation,</w:t>
            </w:r>
            <w:r>
              <w:rPr>
                <w:rFonts w:ascii="Times New Roman;Times;Serif" w:hAnsi="Times New Roman;Times;Serif"/>
                <w:b w:val="false"/>
                <w:i w:val="false"/>
                <w:caps w:val="false"/>
                <w:smallCaps w:val="false"/>
                <w:sz w:val="20"/>
              </w:rPr>
              <w:t xml:space="preserve"> is managed by M Capital Partners. Florian Canivez has investment and voting control over the securities held by FCPI Santé et Digital II.</w:t>
            </w:r>
          </w:p>
        </w:tc>
      </w:tr>
      <w:tr>
        <w:trPr/>
        <w:tc>
          <w:tcPr>
            <w:tcW w:w="31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c>
          <w:tcPr>
            <w:tcW w:w="989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FCPR W PME Multistratégies, a French f</w:t>
            </w:r>
            <w:r>
              <w:rPr>
                <w:rFonts w:ascii="Times New Roman;Times;Serif" w:hAnsi="Times New Roman;Times;Serif"/>
                <w:b w:val="false"/>
                <w:i/>
                <w:caps w:val="false"/>
                <w:smallCaps w:val="false"/>
                <w:sz w:val="20"/>
              </w:rPr>
              <w:t>onds commun de placement à risqu</w:t>
            </w:r>
            <w:r>
              <w:rPr>
                <w:rFonts w:ascii="Times New Roman;Times;Serif" w:hAnsi="Times New Roman;Times;Serif"/>
                <w:b w:val="false"/>
                <w:i w:val="false"/>
                <w:caps w:val="false"/>
                <w:smallCaps w:val="false"/>
                <w:sz w:val="20"/>
              </w:rPr>
              <w:t>e, is managed by M Capital Partners. Florian Canivez has investment and voting control over the securities held by FCPR W PME Multistratégies.</w:t>
            </w:r>
          </w:p>
        </w:tc>
      </w:tr>
      <w:tr>
        <w:trPr/>
        <w:tc>
          <w:tcPr>
            <w:tcW w:w="31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w:t>
            </w:r>
          </w:p>
        </w:tc>
        <w:tc>
          <w:tcPr>
            <w:tcW w:w="989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Nicolas Furstenfeld has investment and voting control over the securities held by SARL Finan cciere Furstenfeld, a French </w:t>
            </w:r>
            <w:r>
              <w:rPr>
                <w:rFonts w:ascii="Times New Roman;Times;Serif" w:hAnsi="Times New Roman;Times;Serif"/>
                <w:b w:val="false"/>
                <w:i/>
                <w:caps w:val="false"/>
                <w:smallCaps w:val="false"/>
                <w:sz w:val="20"/>
              </w:rPr>
              <w:t>entreprise unipersonnelle à responsabilité limitée.</w:t>
            </w:r>
          </w:p>
        </w:tc>
      </w:tr>
      <w:tr>
        <w:trPr/>
        <w:tc>
          <w:tcPr>
            <w:tcW w:w="31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w:t>
            </w:r>
          </w:p>
        </w:tc>
        <w:tc>
          <w:tcPr>
            <w:tcW w:w="989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Jean Furet has investment and voting control over the securities held by JMJ, a </w:t>
            </w:r>
            <w:r>
              <w:rPr>
                <w:rFonts w:ascii="Times New Roman;Times;Serif" w:hAnsi="Times New Roman;Times;Serif"/>
                <w:b w:val="false"/>
                <w:i/>
                <w:caps w:val="false"/>
                <w:smallCaps w:val="false"/>
                <w:sz w:val="20"/>
              </w:rPr>
              <w:t>French société civile.</w:t>
            </w:r>
          </w:p>
        </w:tc>
      </w:tr>
      <w:tr>
        <w:trPr/>
        <w:tc>
          <w:tcPr>
            <w:tcW w:w="31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c>
          <w:tcPr>
            <w:tcW w:w="989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David Leray and Lorena Leray have investment and voting control over the securities held by LDLH, a French </w:t>
            </w:r>
            <w:r>
              <w:rPr>
                <w:rFonts w:ascii="Times New Roman;Times;Serif" w:hAnsi="Times New Roman;Times;Serif"/>
                <w:b w:val="false"/>
                <w:i/>
                <w:caps w:val="false"/>
                <w:smallCaps w:val="false"/>
                <w:sz w:val="20"/>
              </w:rPr>
              <w:t>société par action simplifiée.</w:t>
            </w:r>
          </w:p>
        </w:tc>
      </w:tr>
      <w:tr>
        <w:trPr/>
        <w:tc>
          <w:tcPr>
            <w:tcW w:w="31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c>
          <w:tcPr>
            <w:tcW w:w="989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Shares beneficially owned prior to this offering includes 3,000 shares of our common stock Dominique Leroy beneficially owned prior to the Robocath transaction. </w:t>
            </w:r>
          </w:p>
        </w:tc>
      </w:tr>
      <w:tr>
        <w:trPr/>
        <w:tc>
          <w:tcPr>
            <w:tcW w:w="31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c>
          <w:tcPr>
            <w:tcW w:w="989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MicroPort Cardiovascular, LLC, is controlled by MicroPort Scientific America Inc., which is controlled by Microport Scientific Corporation. MicroPort Scientific Corporation is a public company primarily listed on the Hong Kong Stock Exchange under the ticker symbol 0853.HK.</w:t>
            </w:r>
          </w:p>
        </w:tc>
      </w:tr>
      <w:tr>
        <w:trPr/>
        <w:tc>
          <w:tcPr>
            <w:tcW w:w="31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w:t>
            </w:r>
          </w:p>
        </w:tc>
        <w:tc>
          <w:tcPr>
            <w:tcW w:w="989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Franck Murray and Arthur Duwiquet have investment and voting control over the securities held by Normandie Participations SAS, a French </w:t>
            </w:r>
            <w:r>
              <w:rPr>
                <w:rFonts w:ascii="Times New Roman;Times;Serif" w:hAnsi="Times New Roman;Times;Serif"/>
                <w:b w:val="false"/>
                <w:i/>
                <w:caps w:val="false"/>
                <w:smallCaps w:val="false"/>
                <w:sz w:val="20"/>
              </w:rPr>
              <w:t xml:space="preserve">société par actions simplifiée à associé unique. </w:t>
            </w:r>
          </w:p>
        </w:tc>
      </w:tr>
      <w:tr>
        <w:trPr/>
        <w:tc>
          <w:tcPr>
            <w:tcW w:w="31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w:t>
            </w:r>
          </w:p>
        </w:tc>
        <w:tc>
          <w:tcPr>
            <w:tcW w:w="989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Caroline Lamaud-Dupont has investment and voting control over the securities held by Objectif Innovation 10, a French </w:t>
            </w:r>
            <w:r>
              <w:rPr>
                <w:rFonts w:ascii="Times New Roman;Times;Serif" w:hAnsi="Times New Roman;Times;Serif"/>
                <w:b w:val="false"/>
                <w:i/>
                <w:caps w:val="false"/>
                <w:smallCaps w:val="false"/>
                <w:sz w:val="20"/>
              </w:rPr>
              <w:t>société par actions simplifiée.</w:t>
            </w:r>
          </w:p>
        </w:tc>
      </w:tr>
      <w:tr>
        <w:trPr/>
        <w:tc>
          <w:tcPr>
            <w:tcW w:w="31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w:t>
            </w:r>
          </w:p>
        </w:tc>
        <w:tc>
          <w:tcPr>
            <w:tcW w:w="989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Caroline Lamaud-Dupont has investment and voting control over the securities held by Objectif Innovation 63, a French </w:t>
            </w:r>
            <w:r>
              <w:rPr>
                <w:rFonts w:ascii="Times New Roman;Times;Serif" w:hAnsi="Times New Roman;Times;Serif"/>
                <w:b w:val="false"/>
                <w:i/>
                <w:caps w:val="false"/>
                <w:smallCaps w:val="false"/>
                <w:sz w:val="20"/>
              </w:rPr>
              <w:t>société par actions simplifiée.</w:t>
            </w:r>
          </w:p>
        </w:tc>
      </w:tr>
      <w:tr>
        <w:trPr/>
        <w:tc>
          <w:tcPr>
            <w:tcW w:w="31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w:t>
            </w:r>
          </w:p>
        </w:tc>
        <w:tc>
          <w:tcPr>
            <w:tcW w:w="989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SARL LBLI, a French </w:t>
            </w:r>
            <w:r>
              <w:rPr>
                <w:rFonts w:ascii="Times New Roman;Times;Serif" w:hAnsi="Times New Roman;Times;Serif"/>
                <w:b w:val="false"/>
                <w:i/>
                <w:caps w:val="false"/>
                <w:smallCaps w:val="false"/>
                <w:sz w:val="20"/>
              </w:rPr>
              <w:t>société à responsabilité limitée</w:t>
            </w:r>
            <w:r>
              <w:rPr>
                <w:rFonts w:ascii="Times New Roman;Times;Serif" w:hAnsi="Times New Roman;Times;Serif"/>
                <w:b w:val="false"/>
                <w:i w:val="false"/>
                <w:caps w:val="false"/>
                <w:smallCaps w:val="false"/>
                <w:sz w:val="20"/>
              </w:rPr>
              <w:t xml:space="preserve">, is managed by SAS FBL, a French </w:t>
            </w:r>
            <w:r>
              <w:rPr>
                <w:rFonts w:ascii="Times New Roman;Times;Serif" w:hAnsi="Times New Roman;Times;Serif"/>
                <w:b w:val="false"/>
                <w:i/>
                <w:caps w:val="false"/>
                <w:smallCaps w:val="false"/>
                <w:sz w:val="20"/>
              </w:rPr>
              <w:t>société par actions simplifiée.</w:t>
            </w:r>
            <w:r>
              <w:rPr>
                <w:rFonts w:ascii="Times New Roman;Times;Serif" w:hAnsi="Times New Roman;Times;Serif"/>
                <w:b w:val="false"/>
                <w:i w:val="false"/>
                <w:caps w:val="false"/>
                <w:smallCaps w:val="false"/>
                <w:sz w:val="20"/>
              </w:rPr>
              <w:t xml:space="preserve"> Laurent Blineau has investment and voting control over the shares held by SARL LBLI. </w:t>
            </w:r>
          </w:p>
        </w:tc>
      </w:tr>
      <w:tr>
        <w:trPr/>
        <w:tc>
          <w:tcPr>
            <w:tcW w:w="31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w:t>
            </w:r>
          </w:p>
        </w:tc>
        <w:tc>
          <w:tcPr>
            <w:tcW w:w="989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Tréfoil Investments s.a.r.l., a </w:t>
            </w:r>
            <w:r>
              <w:rPr>
                <w:rFonts w:ascii="Times New Roman;Times;Serif" w:hAnsi="Times New Roman;Times;Serif"/>
                <w:b w:val="false"/>
                <w:i/>
                <w:caps w:val="false"/>
                <w:smallCaps w:val="false"/>
                <w:sz w:val="20"/>
              </w:rPr>
              <w:t xml:space="preserve">société à responsabilité limitée </w:t>
            </w:r>
            <w:r>
              <w:rPr>
                <w:rFonts w:ascii="Times New Roman;Times;Serif" w:hAnsi="Times New Roman;Times;Serif"/>
                <w:b w:val="false"/>
                <w:i w:val="false"/>
                <w:caps w:val="false"/>
                <w:smallCaps w:val="false"/>
                <w:sz w:val="20"/>
              </w:rPr>
              <w:t xml:space="preserve">incorporated under the laws of the Grand Duchy of Luxembourg, is managed by Tuspark Capital Management (Luxembourg) s.à.r.l., a </w:t>
            </w:r>
            <w:r>
              <w:rPr>
                <w:rFonts w:ascii="Times New Roman;Times;Serif" w:hAnsi="Times New Roman;Times;Serif"/>
                <w:b w:val="false"/>
                <w:i/>
                <w:caps w:val="false"/>
                <w:smallCaps w:val="false"/>
                <w:sz w:val="20"/>
              </w:rPr>
              <w:t xml:space="preserve">société à responsabilité limitée </w:t>
            </w:r>
            <w:r>
              <w:rPr>
                <w:rFonts w:ascii="Times New Roman;Times;Serif" w:hAnsi="Times New Roman;Times;Serif"/>
                <w:b w:val="false"/>
                <w:i w:val="false"/>
                <w:caps w:val="false"/>
                <w:smallCaps w:val="false"/>
                <w:sz w:val="20"/>
              </w:rPr>
              <w:t>incorporated under the laws of the Grand Duchy of Luxembourg. Dexiang Wang, Managing Director of Tuspark Capital Management (Luxembourg) s.à.r.l., has investment and voting control over the securities held by Tréfoil Investments s.a.r.l.</w:t>
            </w:r>
          </w:p>
        </w:tc>
      </w:tr>
      <w:tr>
        <w:trPr/>
        <w:tc>
          <w:tcPr>
            <w:tcW w:w="31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w:t>
            </w:r>
          </w:p>
        </w:tc>
        <w:tc>
          <w:tcPr>
            <w:tcW w:w="989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Dexiang Wang, Managing Director of Tuspark Technology Investment Europe s.à.r.l., a </w:t>
            </w:r>
            <w:r>
              <w:rPr>
                <w:rFonts w:ascii="Times New Roman;Times;Serif" w:hAnsi="Times New Roman;Times;Serif"/>
                <w:b w:val="false"/>
                <w:i/>
                <w:caps w:val="false"/>
                <w:smallCaps w:val="false"/>
                <w:sz w:val="20"/>
              </w:rPr>
              <w:t xml:space="preserve">société à responsabilité limitée </w:t>
            </w:r>
            <w:r>
              <w:rPr>
                <w:rFonts w:ascii="Times New Roman;Times;Serif" w:hAnsi="Times New Roman;Times;Serif"/>
                <w:b w:val="false"/>
                <w:i w:val="false"/>
                <w:caps w:val="false"/>
                <w:smallCaps w:val="false"/>
                <w:sz w:val="20"/>
              </w:rPr>
              <w:t xml:space="preserve">incorporated under the laws of the Grand Duchy of Luxembourg, has investment and voting control over the securities held by Tuspark Technology Investment Europe s.à.r.l.. </w:t>
            </w:r>
          </w:p>
        </w:tc>
      </w:tr>
      <w:tr>
        <w:trPr/>
        <w:tc>
          <w:tcPr>
            <w:tcW w:w="31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w:t>
            </w:r>
          </w:p>
        </w:tc>
        <w:tc>
          <w:tcPr>
            <w:tcW w:w="989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Waterstart Capital, a French </w:t>
            </w:r>
            <w:r>
              <w:rPr>
                <w:rFonts w:ascii="Times New Roman;Times;Serif" w:hAnsi="Times New Roman;Times;Serif"/>
                <w:b w:val="false"/>
                <w:i/>
                <w:caps w:val="false"/>
                <w:smallCaps w:val="false"/>
                <w:sz w:val="20"/>
              </w:rPr>
              <w:t>fonds professionnel de capital investissement,</w:t>
            </w:r>
            <w:r>
              <w:rPr>
                <w:rFonts w:ascii="Times New Roman;Times;Serif" w:hAnsi="Times New Roman;Times;Serif"/>
                <w:b w:val="false"/>
                <w:i w:val="false"/>
                <w:caps w:val="false"/>
                <w:smallCaps w:val="false"/>
                <w:sz w:val="20"/>
              </w:rPr>
              <w:t xml:space="preserve"> is managed by NCI, a French </w:t>
            </w:r>
            <w:r>
              <w:rPr>
                <w:rFonts w:ascii="Times New Roman;Times;Serif" w:hAnsi="Times New Roman;Times;Serif"/>
                <w:b w:val="false"/>
                <w:i/>
                <w:caps w:val="false"/>
                <w:smallCaps w:val="false"/>
                <w:sz w:val="20"/>
              </w:rPr>
              <w:t>société par actions simplifiée</w:t>
            </w:r>
            <w:r>
              <w:rPr>
                <w:rFonts w:ascii="Times New Roman;Times;Serif" w:hAnsi="Times New Roman;Times;Serif"/>
                <w:b w:val="false"/>
                <w:i w:val="false"/>
                <w:caps w:val="false"/>
                <w:smallCaps w:val="false"/>
                <w:sz w:val="20"/>
              </w:rPr>
              <w:t>, which is owned by Les Cadres Investisseurs. Les Cadres Investisseurs is owned by Alta. Alta is owned by PARTAG, Kerinvest, Stéphane Kerlo, PERSADEV, Vincent Lhermenier, and Yves Guiol. PARTAG is owned by Anne-Cécile Guitton, Kerinvest is controlled by Stéphane Kerlo, and PERSADEV is owned by Hubert de Germay. Anne-Cécile Guitton, President of NCI, Stéphane Kerlo, CEO of NCI, and Yves Guiol, Partner of NCI, have investment and voting control over the securities held by Waterstart Capital.</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Resale Organization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Acquisition, the Company and the Securityholders entered into a Resale Organization Agreement, dated as of July 7, 2026 (the “Resale Organization Agreement”), which is intended to facilitate the orderly resale of the Shares following the closing of the Acquisition.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Resale Organization Agreement, the Securityholders agreed to not sell, on any single trading day, shares in open-market sales in an amount that exceeds more than 15% of the average daily trading volume of the Common Stock over the 10 trading days ending on the date prior to date on which such daily volume cap is calculated. The foregoing limitation under the Resale Organization Agreement is allocated pro rata to the Securityholders, provided that the European Investment Bank has priority resale rights during an initial period ending no later than six months following the closing of the Acquisition. The foregoing limitation does not apply to privately negotiated transfers or block sales. This description of the terms of the Resale Organization Agreement is a summary only and is qualified in its entirety by reference to the full text of the Resale Organization Agreement, which is filed as Exhibit 10.1 to the registration statement of which this prospectus forms a part and incorporated herein by reference.</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13</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8" w:name="Y-007"/>
      <w:bookmarkEnd w:id="8"/>
      <w:r>
        <w:rPr>
          <w:rFonts w:ascii="Times New Roman;Times;Serif" w:hAnsi="Times New Roman;Times;Serif"/>
          <w:b/>
          <w:i w:val="false"/>
          <w:caps/>
          <w:sz w:val="20"/>
        </w:rPr>
        <w:t>PLAN OF DISTRIBUTION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registering the shares of our common stock previously issued to the Selling Stockholders and additional shares of our common stock potentially issuable to the Selling Stockholders if certain regulatory approval and commercial earnout performance targets are met during their respective earnout periods, pursuant to and as set forth in the Share Sale Agreement, in order to permit the Selling Stockholders to offer the shares for resale from time to time after the date of this prospectus. Such resales are subject to the limitations under the Resale Organization Agreement as described under “</w:t>
      </w:r>
      <w:r>
        <w:rPr>
          <w:rFonts w:ascii="Times New Roman;Times;Serif" w:hAnsi="Times New Roman;Times;Serif"/>
          <w:b w:val="false"/>
          <w:i/>
          <w:caps w:val="false"/>
          <w:smallCaps w:val="false"/>
          <w:sz w:val="20"/>
        </w:rPr>
        <w:t>Selling Stockholders—Resale Organization Agreement</w:t>
      </w:r>
      <w:r>
        <w:rPr>
          <w:rFonts w:ascii="Times New Roman;Times;Serif" w:hAnsi="Times New Roman;Times;Serif"/>
          <w:b w:val="false"/>
          <w:i w:val="false"/>
          <w:caps w:val="false"/>
          <w:smallCaps w:val="false"/>
          <w:sz w:val="20"/>
        </w:rPr>
        <w:t>” above. We will not receive any of the proceeds from the sale by the Selling Stockholders of the shares of common stock. We will bear all fees and expenses incident to our obligation to register the shares of common stock.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Stockholders, which as used herein includes donees, pledgees, transferees or other successors-in-interest selling shares of common stock or interests in shares of common stock received after the date of this prospectus from a Selling Stockholder as a gift, pledge, partnership distribution or other transfer, may, from time to time, sell, transfer or otherwise dispose of any or all of their shares of common stock or interests in shares of common stock on any stock exchange, market or trading facility on which the shares are traded or in private transactions directly or through one or more underwriters, broker-dealers or agents. If the shares of common stock or interests in shares of common stock are sold through underwriters or broker-dealers, the Selling Stockholders will be responsible for underwriting discounts or commissions or agent’s commissions. These dispositions may be sold in one or more transactions, at fixed prices, at prevailing market prices at the time of sale, at prices related to the prevailing market price, at varying prices determined at the time of sale, or at negotiated prices. These sales may be effected in transactions which may involve cross or block transactions.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Stockholders may use any one or more of the following methods when disposing of shares or interests therein:</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transactions on any national securities exchange or U.S. inter-dealer quotation system of a registered national securities association on which the shares may be listed or quoted at the time of sale;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over-the-counter market transactions;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transactions otherwise than on these exchanges or systems or in the over-the-counter market;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ordinary brokerage transactions and transactions in which the broker-dealer solicits purchasers;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block trades in which the broker-dealer will attempt to sell the shares as agent, but may position and resell a portion of the block as principal to facilitate the transaction;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purchases by a broker-dealer as principal and resale by the broker-dealer for its account;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exchange distribution in accordance with the rules of the applicable exchange;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privately negotiated transactions;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short-sales;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through the distribution of the common stock by any Selling Stockholder to its partners, members or stockholders;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through one or more underwritten offerings on a firm commitment or best efforts basis;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sales pursuant to Rule 144;</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through the writing or settlement of options or other hedging transactions, whether through an options exchange or otherwise;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via agreements between broker-dealers and the Selling Stockholders to sell a specified number of such shares at a stipulated price per share;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combination of any such methods of sale;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other method permitted by applicable law.</w:t>
            </w:r>
          </w:p>
        </w:tc>
      </w:tr>
    </w:tbl>
    <w:p>
      <w:pPr>
        <w:pStyle w:val="TextBody"/>
        <w:bidi w:val="0"/>
        <w:spacing w:before="0" w:after="0"/>
        <w:ind w:left="720" w:right="0" w:hanging="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b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14</w:t>
            </w:r>
          </w:p>
        </w:tc>
      </w:tr>
    </w:tbl>
    <w:p>
      <w:pPr>
        <w:pStyle w:val="TextBody"/>
        <w:bidi w:val="0"/>
        <w:spacing w:before="0" w:after="0"/>
        <w:ind w:left="0" w:right="0" w:hanging="0"/>
        <w:jc w:val="left"/>
        <w:rPr/>
      </w:pPr>
      <w:r>
        <w:rPr/>
        <w:t> </w:t>
      </w:r>
    </w:p>
    <w:p>
      <w:pPr>
        <w:pStyle w:val="TextBody"/>
        <w:bidi w:val="0"/>
        <w:spacing w:before="0" w:after="0"/>
        <w:ind w:left="720" w:right="0" w:hanging="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Stockholders may, from time to time, pledge or grant a security interest in some or all of the shares of common stock owned by them and, if they default in the performance of their secured obligations, the pledgees or secured parties may offer and sell the shares of common stock, from time to time, under this prospectus, or under an amendment to this prospectus under Rule 424(b)(3) or other applicable provision of the Securities Act amending the list of selling stockholders to include the pledgee, transferee or other successors in interest as Selling Stockholders under this prospectus. The Selling Stockholders also may transfer or donate the shares of common stock in other circumstances, in which case the transferees, donees, pledgees or other successors in interest will be the selling beneficial owners for purposes of this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sale of securities or otherwise, the Selling Stockholders may enter into hedging transactions with broker-dealers or other financial institutions, which may in turn engage in short sales of the shares in the course of hedging the positions they assume. The Selling Stockholders may also sell shares short and deliver these shares to close out their short positions and to return borrowed shares in connection with such short sales, or loan or pledge the shares to broker-dealers that in turn may sell these shares. The Selling Stockholders may also enter into option or other transactions with broker-dealers or other financial institutions or the creation of one or more derivative securities which require the delivery to such broker-dealer or other financial institution of shares offered by this prospectus, which shares such broker-dealer or other financial institution may resell pursuant to this prospectus (as supplemented or amended to reflect such transaction).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Stockholders also may resell all or a portion of the shares in open market transactions in reliance upon Rule 144 under the Securities Act, provided that they meet the criteria and conform to the requirements of that rule.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Stockholders, individually and not severally, and any underwriters, broker-dealers or agents that participate in the distribution of the common stock may be deemed to be “underwriters” within the meaning of Section 2(a)(11) of the Securities Act. Any discounts, commissions, concessions or profit earned by any such broker-dealer on any resale of the shares may be deemed to be underwriting discounts and commissions under the Securities Act. Selling Stockholders who are “underwriters” within the meaning of Section 2(a)(11) of the Securities Act will be subject to the prospectus delivery requirements of the Securities Act, including Rule 172 thereunder and may be subject to certain statutory liabilities of, including but not limited to, Sections 11, 12 and 17 of the Securities Act and Rule 10b-5 under the Exchange Act. To the extent applicable, we will make copies of this prospectus (as it may be supplemented or amended from time to time) available to the Selling Stockholders for the purpose of satisfying the prospectus delivery requirements of the Securities Act. The Selling Stockholders may indemnify any broker-dealer that participates in transactions involving the sale of the shares against certain liabilities, including liabilities arising under the Securities Act.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required, the shares of our common stock to be sold, the names of the Selling Stockholders, the respective purchase prices and public offering prices, the names of any agents, dealer or underwriter, and any applicable commissions or discounts with respect to a particular offer will be set forth in an accompanying prospectus supplement or, if appropriate, a post-effective amendment to the registration statement of which this prospectus forms a part.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actual number of shares issued or anticipated to be issued as earnout shares in respect of milestones achieved exceeds or is expected to exceed the number of earnout shares registered under the registration statement, we will use commercially reasonable efforts to promptly file an amendment to the registration statement or file a new registration statement on any appropriate form under the Securities Act to effect the registration of all such excess shares. We are required to pay certain fees and expenses incurred by us as incident to the registration of the shares. The Share Sale Agreement provides that in no event will the number of shares issuable thereunder exceed 19.9% of the total number of shares of our common stock issued and outstanding immediately prior to July 7, 2026 without obtaining approval of stockholders pursuant to the applicable rules of the NYSE American.</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15</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comply with the securities laws of some states, if applicable, the common stock may be sold in these jurisdictions only through registered or licensed brokers or dealers. In addition, in some states the common stock may not be sold unless it has been registered or qualified for sale or an exemption from registration or qualification requirements is available and is complied with.</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Selling Stockholder and any other person participating in such distribution will be subject to applicable provisions of the Exchange Act and the rules and regulations thereunder, including, without limitation, to the extent applicable, Regulation M of the Exchange Act, which may limit the timing of purchases and sales of any of the shares of common stock by the Selling Stockholder and any other participating person. To the extent applicable, Regulation M may also restrict the ability of any person engaged in the distribution of the shares of common stock to engage in market-making activities with respect to the shares of common stock. All of the foregoing may affect the marketability of the shares of common stock and the ability of any person or entity to engage in market-making activities with respect to the shares of common stock.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Broker-dealers engaged by the Selling Stockholders may arrange for other broker-dealers to participate in sales. If the Selling Stockholders effect such transactions by selling shares of common stock to or through underwriters, broker-dealers or agents, such underwriters, broker-dealers or agents may receive commissions in the form of discounts, concessions or commissions from the Selling Stockholders or commissions from purchasers of the shares of common stock for whom they may act as agent or to whom they may sell as principal. Such commissions will be in amounts to be negotiated, and the Selling Stockholders have advised us that, except as set forth in a supplement to this prospectus, in the case of an agency transaction, such commissions will not be in excess of a customary brokerage commission in compliance with FINRA Rule 2121 and, in the case of a principal transaction, any such markup or markdown will be in compliance with FINRA Rule 2121.</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aggregate proceeds to the Selling Stockholders from the sale of the common stock offered by them will be the purchase price of the common stock less discounts or commissions, if any. Each of the Selling Stockholders reserves the right to accept and, together with their agents from time to time, to reject, in whole or in part, any proposed purchase of common stock to be made directly or through agents. There can be no assurance that any Selling Stockholder will sell any or all of the shares of common stock registered pursuant to the registration statement of which this prospectus forms a part.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agreed with the Selling Stockholders to keep the registration statement of which this prospectus forms a part effective until the earliest to occur of (i) the sixth anniversary of the date the registration statement has first become effective, or (ii) the date that all of the shares of common stock issued or issuable pursuant to the Share Sale Agreement have actually been sold, or may be sold pursuant to Rule 144 under the Securities Act without any restrictions (including as to volume or manner of sale). Once sold under the registration statement of which this prospectus forms a part, the shares of common stock will be freely tradable in the hands of persons other than our affiliates.</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16</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bookmarkStart w:id="9" w:name="Y-008"/>
      <w:bookmarkEnd w:id="9"/>
      <w:r>
        <w:rPr>
          <w:rFonts w:ascii="Times New Roman;Times;Serif" w:hAnsi="Times New Roman;Times;Serif"/>
          <w:b/>
          <w:i w:val="false"/>
          <w:caps/>
          <w:sz w:val="20"/>
        </w:rPr>
        <w:t>DESCRIPTION OF SECURITIES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prospectus, we are authorized to issue up to 310 million shares of capital stock, par value $0.001 per share, divided into two classes designated, respectively, “common stock” and “preferred stock.” Of such shares authorized, 300 million shares are designated as common stock, and 10 million shares are designated as preferred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summary of the material terms of our capital stock and certain provisions of our amended and restated Certificate of Incorporation and amended and restated Bylaws. Since the terms of our Certificate of Incorporation and Bylaws, and Delaware law, are more detailed than the general information provided below, you should only rely on the actual provisions of those documents and Delaware law. If you would like to read those documents, they are on file with the SEC, as described under the heading “</w:t>
      </w:r>
      <w:r>
        <w:rPr>
          <w:rFonts w:ascii="Times New Roman;Times;Serif" w:hAnsi="Times New Roman;Times;Serif"/>
          <w:b w:val="false"/>
          <w:i/>
          <w:caps w:val="false"/>
          <w:smallCaps w:val="false"/>
          <w:sz w:val="20"/>
        </w:rPr>
        <w:t>Where You Can Find Additional Information</w:t>
      </w:r>
      <w:r>
        <w:rPr>
          <w:rFonts w:ascii="Times New Roman;Times;Serif" w:hAnsi="Times New Roman;Times;Serif"/>
          <w:b w:val="false"/>
          <w:i w:val="false"/>
          <w:caps w:val="false"/>
          <w:smallCaps w:val="false"/>
          <w:sz w:val="20"/>
        </w:rPr>
        <w:t>” below.</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Common Stock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there were approximately 97,934,076 shares of our common stock outstanding that were held of record by approximately 380 stockholders, although we believe that there is a significantly larger number of beneficial owners of our common stock. The holders of common stock are entitled to one vote for each share held of record on all matters submitted to a vote of the stockholders. Our stockholders do not have cumulative voting rights in the election of directors. Accordingly, holders of a majority of the shares voting are able to elect all of the directors. Subject to preferences that may be granted to any then outstanding preferred stock, holders of common stock are entitled to receive ratably only those dividends as may be declared by the Board of Directors out of funds legally available therefore, as well as any distributions to the stockholders. In the event of our liquidation, dissolution or winding up, holders of common stock are entitled to share ratably in all of our assets remaining after we pay our liabilities and distribute the liquidation preference of any then outstanding preferred stock. Holders of common stock have no preemptive or other subscription or conversion rights. There are no redemption or sinking fund provisions applicable to the common stock.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Purchaser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Robocath acquisition, as permitted by the Share Sale Agreement, one of the Robocath securityholders elected to receive Purchaser Warrants in lieu of shares of our common stock otherwise issuable to them under the Share Sale Agreement, whether as upfront stock consideration or as earnout consideration. Each Purchaser Warrant entitles the holder thereof to acquire one share of our common stock at an exercise price equal to the par value of our common stock ($0.001 per share). The Purchaser Warrants are exercisable for cash or on a cashless basis. The Purchaser Warrants are exercisable at any time from the date of issuance until the fifth (5th) anniversary of the date of issuance. The number of Purchaser Warrants to be issued to the holder is determined on the same basis as the number of shares of our common stock that would otherwise have been issuable to such holder under the Share Sale Agreement. The shares of our common stock issuable upon exercise of the Purchaser Warrants (but not the Purchaser Warrants themselves) constitute “Registrable Securities” covered by this registration statement.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Series A Convertible Preferred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29</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2016, we filed a Certificate of Designations, Preferences and Rights of Series A Convertible Preferred Stock (the “Certificate of Designations”) to authorize the Series A Convertible Preferred Stock.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Certificate of Designations, holders of Series A Convertible Preferred Stock are entitled to vote on an as-converted basis with holders of common stock, subject to specified beneficial ownership issuance limitations. The Series A Convertible Preferred Stock bears dividends at a rate of six percent (6.0%) per annum, which are cumulative and accrue daily from the date of issuance on the $1,000 stated value. Such dividends will not be paid in cash, except in connection with any liquidation, dissolution or winding up of the Company or any redemption of the Series A Convertible Preferred Stock. Instead, the value of the accrued dividends is added to the liquidation preference of the Series A Convertible Preferred Stock and will increase the number of shares of common stock issuable upon conversion.</w:t>
      </w:r>
    </w:p>
    <w:p>
      <w:pPr>
        <w:pStyle w:val="TextBody"/>
        <w:bidi w:val="0"/>
        <w:spacing w:before="0" w:after="0"/>
        <w:ind w:left="0" w:right="0" w:firstLine="49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17</w:t>
            </w:r>
          </w:p>
        </w:tc>
      </w:tr>
    </w:tbl>
    <w:p>
      <w:pPr>
        <w:pStyle w:val="TextBody"/>
        <w:bidi w:val="0"/>
        <w:spacing w:before="0" w:after="0"/>
        <w:ind w:left="0" w:right="0" w:hanging="0"/>
        <w:jc w:val="left"/>
        <w:rPr/>
      </w:pPr>
      <w:r>
        <w:rPr/>
        <w:t> </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share of Series A Convertible Preferred Stock is convertible at the option of the holder from and after the original date of issuance, at an initial conversion price of $0.65 per share, subject to adjustment in the event of stock splits, dividends, mergers, sales of all or substantially all of our assets or similar transactions, subject to specified beneficial ownership issuance limitations. If we fail to timely issue shares of Series A Convertible Preferred Stock or common stock issuable on conversion or remove legends from any such shares, in each case as and when required to do so under the Certificate of Designations, we will be required to pay liquidated damages to the affected holder in an amount equal to 0.25% of the product of (i) the number of shares of common stock to be issued or issuable on conversion of the relevant shares of Series A Convertible Preferred Stock and (ii) the weighted average price of the common stock on the last date before such failure, and may be required to pay additional or alternative damages in specified circumstances at the option of the holder. Each holder of Series A Convertible Preferred Stock has the right to require us to redeem such holder’s Series A Convertible Preferred Stock upon the occurrence of specified events, including mergers, sales of substantially all assets of the Company, and certain defaults under the Certificate of Designations and under the Registration Rights Agreement entered into in connection with the Financing Transaction. We also have the right to redeem the Series A Convertible Preferred Stock in the event of a Change of Control Transaction (as defined in the Certificate of Designations).</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Series A Convertible Preferred Stock ranks senior to our common stock as to distributions and payments upon the liquidation, dissolution and winding up of the Company. No such distributions or payments upon the liquidation, dissolution and winding up of the Company may be made to the holders of common stock unless and until the holders of Series A Convertible Preferred Stock have received the stated value of $1,000 per share plus any accrued and unpaid dividends. Until all shares of Series A Convertible Preferred Stock have been converted or redeemed, no dividends may be paid on the common stock without the prior express written consent of the holders of a majority of the outstanding Series A Convertible Preferred Stock. In the event that dividends or other distributions of assets are made or paid by us to the holders of the common stock, the holders of Series A Convertible Preferred Stock are entitled to participate in such dividend or distribution on an as-converted basis (without giving effect to any limitations on conversion).</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Anti-Takeover Provisions of Delaware Law and Charter Provisions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Interested Stockholder Transactions</w:t>
      </w:r>
      <w:r>
        <w:rPr>
          <w:rFonts w:ascii="Times New Roman;Times;Serif" w:hAnsi="Times New Roman;Times;Serif"/>
          <w:b w:val="false"/>
          <w:i w:val="false"/>
          <w:caps w:val="false"/>
          <w:smallCaps w:val="false"/>
          <w:sz w:val="20"/>
        </w:rPr>
        <w:t>. We are subject to Section 203 of the Delaware General Corporation Law, which prohibits a Delaware corporation from engaging in any “business combination” with any “interested stockholder” for a period of three years after the date that such stockholder became an interested stockholder, with the following exceptions:</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Before such date, the Board of Directors of the corporation approved either the business combination or the transaction that resulted in the stockholder becoming an interested stockholder;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consummation of the transaction that resulted in the stockholder becoming an interested stockholder, the interested stockholder owned at least 85% of the voting stock of the corporation outstanding at the time the transaction began, excluding for purposes of determining the number of shares outstanding those shares owned by persons who are directors and also officers and by employee stock plans in which employee participants do not have the right to determine confidentially whether shares held subject to the plan will be tendered in a tender or exchange offer; or</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or after such date, the business combination is approved by the Board of Directors and authorized at an annual or special meeting of the stockholders, and not by written consent, by the affirmative vote of at least 66-2/3% of the outstanding voting stock that is not owned by the interested stockholder.</w:t>
            </w:r>
          </w:p>
        </w:tc>
      </w:tr>
    </w:tbl>
    <w:p>
      <w:pPr>
        <w:pStyle w:val="TextBody"/>
        <w:bidi w:val="0"/>
        <w:spacing w:before="0" w:after="0"/>
        <w:ind w:left="0" w:right="0" w:firstLine="49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18</w:t>
            </w:r>
          </w:p>
        </w:tc>
      </w:tr>
    </w:tbl>
    <w:p>
      <w:pPr>
        <w:pStyle w:val="TextBody"/>
        <w:bidi w:val="0"/>
        <w:spacing w:before="0" w:after="0"/>
        <w:ind w:left="0" w:right="0" w:hanging="0"/>
        <w:jc w:val="left"/>
        <w:rPr/>
      </w:pPr>
      <w:r>
        <w:rPr/>
        <w:t> </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203 defines “business combination” to include the following:</w:t>
      </w:r>
    </w:p>
    <w:p>
      <w:pPr>
        <w:pStyle w:val="TextBody"/>
        <w:bidi w:val="0"/>
        <w:spacing w:before="0" w:after="0"/>
        <w:ind w:left="0" w:right="0" w:firstLine="490"/>
        <w:jc w:val="both"/>
        <w:rPr>
          <w:caps w:val="false"/>
          <w:smallCaps w:val="false"/>
        </w:rPr>
      </w:pPr>
      <w:r>
        <w:rPr>
          <w:caps w:val="false"/>
          <w:smallCaps w:val="false"/>
        </w:rPr>
        <w:t> </w:t>
      </w:r>
    </w:p>
    <w:tbl>
      <w:tblPr>
        <w:tblW w:w="7300" w:type="dxa"/>
        <w:jc w:val="left"/>
        <w:tblInd w:w="0" w:type="dxa"/>
        <w:tblLayout w:type="fixed"/>
        <w:tblCellMar>
          <w:top w:w="0" w:type="dxa"/>
          <w:left w:w="0" w:type="dxa"/>
          <w:bottom w:w="0" w:type="dxa"/>
          <w:right w:w="0" w:type="dxa"/>
        </w:tblCellMar>
      </w:tblPr>
      <w:tblGrid>
        <w:gridCol w:w="75"/>
        <w:gridCol w:w="170"/>
        <w:gridCol w:w="705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0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merger or consolidation involving the corporation and the interested stockholder;</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sale, transfer, pledge or other disposition involving the interested stockholder of assets with a value of 10% or more of either the total assets or all outstanding stock of the corporation;</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certain exceptions, any transaction that results in the issuance or transfer by the corporation of any stock of the corporation to the interested stockholder;</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transaction involving the corporation that has the effect of increasing the proportionate share of the stock or any class or series of the corporation beneficially owned by the interested stockholder; or</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receipt by the interested stockholder of the benefit of any loans, advances, guarantees, pledges or other financial benefits by or through the corporation.</w:t>
            </w:r>
          </w:p>
        </w:tc>
      </w:tr>
    </w:tbl>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general, Section 203 defines “interested stockholder” as an entity or person beneficially owning 15% or more of the outstanding voting stock of the corporation or any entity or person affiliated with or controlling or controlled by such an entity or person.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some provisions of our amended and restated Certificate of Incorporation and amended and restated Bylaws may be deemed to have an anti-takeover effect and may delay or prevent a tender offer or takeover attempt that a stockholder might consider in its best interest, including those attempts that might result in a premium over the market price for the shares held by stockholders.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Cumulative Voting</w:t>
      </w:r>
      <w:r>
        <w:rPr>
          <w:rFonts w:ascii="Times New Roman;Times;Serif" w:hAnsi="Times New Roman;Times;Serif"/>
          <w:b w:val="false"/>
          <w:i w:val="false"/>
          <w:caps w:val="false"/>
          <w:smallCaps w:val="false"/>
          <w:sz w:val="20"/>
        </w:rPr>
        <w:t>. Our amended and restated Certificate of Incorporation expressly denies stockholders the right to cumulative voting in the election of directors.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Classified Board of Directors</w:t>
      </w:r>
      <w:r>
        <w:rPr>
          <w:rFonts w:ascii="Times New Roman;Times;Serif" w:hAnsi="Times New Roman;Times;Serif"/>
          <w:b w:val="false"/>
          <w:i w:val="false"/>
          <w:caps w:val="false"/>
          <w:smallCaps w:val="false"/>
          <w:sz w:val="20"/>
        </w:rPr>
        <w:t>. Our Board of Directors is divided into three classes of directors serving staggered three-year terms. As a result, one-third of the Board of Directors is elected each year, which has the effect of requiring at least two annual stockholder meetings, instead of one, to replace a majority of the members of the board. These provisions, when coupled with the provision of our amended and restated Certificate of Incorporation authorizing only the Board of Directors to fill vacant directorships or increase the size of the Board of Directors, may deter a stockholder from removing incumbent directors and simultaneously gaining control of the Board of Directors by filling the vacancies created by such removal with its own nominees. The Certificate of Incorporation also provides that directors may be removed by stockholders only for cause. Since the Board of Directors has the power to retain and discharge our officers, these provisions could also make it more difficult for existing stockholders or another party to effect a change in management.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Stockholder Action; Special Meeting of Stockholders</w:t>
      </w:r>
      <w:r>
        <w:rPr>
          <w:rFonts w:ascii="Times New Roman;Times;Serif" w:hAnsi="Times New Roman;Times;Serif"/>
          <w:b w:val="false"/>
          <w:i w:val="false"/>
          <w:caps w:val="false"/>
          <w:smallCaps w:val="false"/>
          <w:sz w:val="20"/>
        </w:rPr>
        <w:t>. Our amended and restated Certificate of Incorporation and Bylaws do not permit stockholders to act by written consent. They provide that special meetings of our stockholders may be called only by the Chairman of our Board of Directors, our Chief Executive Officer or a majority of our directors. Further, our amended and restated Certificate of Incorporation provides that the stockholders may amend Bylaws adopted by the Board of Directors or specified provisions of the Certificate of Incorporation by the affirmative vote of at least 66-2/3% of our capital stock.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Advance Notice Requirements for Stockholder Proposals and Directors Nominations</w:t>
      </w:r>
      <w:r>
        <w:rPr>
          <w:rFonts w:ascii="Times New Roman;Times;Serif" w:hAnsi="Times New Roman;Times;Serif"/>
          <w:b w:val="false"/>
          <w:i w:val="false"/>
          <w:caps w:val="false"/>
          <w:smallCaps w:val="false"/>
          <w:sz w:val="20"/>
        </w:rPr>
        <w:t>. Our amended and restated Bylaws provide that stockholders seeking to bring business before an annual meeting of stockholders, or to nominate candidates for election as directors at an annual meeting of stockholders, must provide timely notice in writing. To be timely, a stockholder’s notice must be delivered to or mailed and received at our principal executive office not more than 120 days or less than 90 days prior to the anniversary date of the immediately preceding annual meeting of stockholders. However, in the event that the annual meeting is called for a date that is not within 30 days before or after such anniversary date, notice by the stockholder in order to be timely must be received no later than the close of business on the 10th day following the date on which notice of the date of the annual meeting was mailed to stockholders or made public, whichever first occurs. Our amended and restated Bylaws also specify requirements as to the form and content of a stockholder’s notice. These provisions may preclude stockholders from bringing matters before an annual meeting of stockholders or from nominating directors at an annual meeting of stockholders.</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19</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Authorized But Unissued Shares</w:t>
      </w:r>
      <w:r>
        <w:rPr>
          <w:rFonts w:ascii="Times New Roman;Times;Serif" w:hAnsi="Times New Roman;Times;Serif"/>
          <w:b w:val="false"/>
          <w:i w:val="false"/>
          <w:caps w:val="false"/>
          <w:smallCaps w:val="false"/>
          <w:sz w:val="20"/>
        </w:rPr>
        <w:t>. Our authorized but unissued shares of common stock and preferred stock are available for future issuance without stockholder approval. These additional shares may be utilized for a variety of corporate purposes, including future public offerings to raise additional capital, corporate acquisitions and employee benefit plans. The existence of authorized but unissued shares of common stock and preferred stock could render more difficult or discourage an attempt to obtain control of Stereotaxis by means of a proxy contest, tender offer, merger or otherwise.</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Amendments; Supermajority Vote Requirements</w:t>
      </w:r>
      <w:r>
        <w:rPr>
          <w:rFonts w:ascii="Times New Roman;Times;Serif" w:hAnsi="Times New Roman;Times;Serif"/>
          <w:b w:val="false"/>
          <w:i w:val="false"/>
          <w:caps w:val="false"/>
          <w:smallCaps w:val="false"/>
          <w:sz w:val="20"/>
        </w:rPr>
        <w:t>. The Delaware General Corporation Law provides generally that the affirmative vote of a majority of the shares entitled to vote on any matter is required to amend a corporation’s Certificate of Incorporation or Bylaws, unless either a corporation’s Certificate of Incorporation or Bylaws require a greater percentage. Our amended and restated Certificate of Incorporation imposes supermajority vote requirements of 66-2/3% of the voting power of our capital stock in connection with the amendment of certain provisions of our amended and restated Certificate of Incorporation and amended and restated Bylaws, including those provisions relating to the classified Board of Directors, action by written consent and the ability of stockholders to call special meetings.</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Market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is listed on the NYSE American under the symbol “STXS.”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Transfer Agent and Registrar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transfer agent and registrar for our common stock is Broadridge Corporate Issuer Solutions, Inc. Its address is Broadridge Corporate Issuer Solutions, P.O. Box 1342, Brentwood, NY 11717-0718, and its telephone number is (855) 300-4994.</w:t>
      </w:r>
    </w:p>
    <w:p>
      <w:pPr>
        <w:pStyle w:val="TextBody"/>
        <w:bidi w:val="0"/>
        <w:spacing w:before="0" w:after="0"/>
        <w:ind w:left="0" w:right="0" w:hanging="0"/>
        <w:jc w:val="left"/>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bookmarkStart w:id="10" w:name="Y-009"/>
      <w:bookmarkEnd w:id="10"/>
      <w:r>
        <w:rPr>
          <w:rFonts w:ascii="Times New Roman;Times;Serif" w:hAnsi="Times New Roman;Times;Serif"/>
          <w:b/>
          <w:i w:val="false"/>
          <w:caps/>
          <w:sz w:val="20"/>
        </w:rPr>
        <w:t>LEGAL MATTERS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validity of the securities offered hereby has been passed upon for us by Bryan Cave Leighton Paisner LLP, St. Louis, Missouri.</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11" w:name="Y-010"/>
      <w:bookmarkEnd w:id="11"/>
      <w:r>
        <w:rPr>
          <w:rFonts w:ascii="Times New Roman;Times;Serif" w:hAnsi="Times New Roman;Times;Serif"/>
          <w:b/>
          <w:i w:val="false"/>
          <w:caps/>
          <w:sz w:val="20"/>
        </w:rPr>
        <w:t>EXPERTS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Ernst &amp; Young LLP, independent registered public accounting firm, has audited our consolidated financial statements and schedule included in our Annual Report on Form 10-K for the year ended December 31, 2025, as set forth in their report, which is incorporated by reference in this prospectus and elsewhere in the registration statement. Our financial statements and schedule are incorporated by reference in reliance on Ernst &amp; Young LLP’s report, given on their authority as experts in accounting and auditing.</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12" w:name="Y-011"/>
      <w:bookmarkEnd w:id="12"/>
      <w:r>
        <w:rPr>
          <w:rFonts w:ascii="Times New Roman;Times;Serif" w:hAnsi="Times New Roman;Times;Serif"/>
          <w:b/>
          <w:i w:val="false"/>
          <w:caps/>
          <w:sz w:val="20"/>
        </w:rPr>
        <w:t>WHERE YOU CAN FIND ADDITIONAL INFORMATION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file annual, quarterly and current reports, proxy statements and other information with the SEC. Our SEC filings are available to the public over the Internet at the SEC’s website at http://www.sec.gov. The SEC’s website contains reports, proxy and information statements and other information regarding issuers, such as us, that file electronically with the SEC.</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filed with the SEC a registration statement under the Securities Act that registers the distribution of these securities. The registration statement, including the attached exhibits and schedules, contains additional relevant information about us and the securities. This prospectus does not contain all of the information set forth in the registration statement. The registration statement and the documents referred to below under “</w:t>
      </w:r>
      <w:r>
        <w:rPr>
          <w:rFonts w:ascii="Times New Roman;Times;Serif" w:hAnsi="Times New Roman;Times;Serif"/>
          <w:b w:val="false"/>
          <w:i/>
          <w:caps w:val="false"/>
          <w:smallCaps w:val="false"/>
          <w:sz w:val="20"/>
        </w:rPr>
        <w:t>Incorporation of Certain Documents by Reference</w:t>
      </w:r>
      <w:r>
        <w:rPr>
          <w:rFonts w:ascii="Times New Roman;Times;Serif" w:hAnsi="Times New Roman;Times;Serif"/>
          <w:b w:val="false"/>
          <w:i w:val="false"/>
          <w:caps w:val="false"/>
          <w:smallCaps w:val="false"/>
          <w:sz w:val="20"/>
        </w:rPr>
        <w:t>” are also available on our Internet website, http://www.stereotaxis.com, under “Investors—SEC Filings.” We have not incorporated by reference into this prospectus the information on our website, and you should not consider it to be a part of this prospectus.</w:t>
      </w:r>
    </w:p>
    <w:p>
      <w:pPr>
        <w:pStyle w:val="TextBody"/>
        <w:bidi w:val="0"/>
        <w:spacing w:before="0" w:after="0"/>
        <w:ind w:left="0" w:right="0" w:firstLine="49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20</w:t>
            </w:r>
          </w:p>
        </w:tc>
      </w:tr>
    </w:tbl>
    <w:p>
      <w:pPr>
        <w:pStyle w:val="TextBody"/>
        <w:bidi w:val="0"/>
        <w:spacing w:before="0" w:after="0"/>
        <w:ind w:left="0" w:right="0" w:hanging="0"/>
        <w:jc w:val="left"/>
        <w:rPr/>
      </w:pPr>
      <w:r>
        <w:rPr/>
        <w:t> </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13" w:name="Y-012"/>
      <w:bookmarkEnd w:id="13"/>
      <w:r>
        <w:rPr>
          <w:rFonts w:ascii="Times New Roman;Times;Serif" w:hAnsi="Times New Roman;Times;Serif"/>
          <w:b/>
          <w:i w:val="false"/>
          <w:caps/>
          <w:sz w:val="20"/>
        </w:rPr>
        <w:t>INCORPORATION OF CERTAIN DOCUMENTS BY REFERENCE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 allows us to “incorporate by reference” information into this prospectus, which means we can disclose important information to you by referring you to other documents that we filed separately with the SEC. You should consider the incorporated information as if we reproduced it in this prospectus, except for any information directly superseded by information subsequently filed with the SEC and incorporated in this prospectus.</w:t>
      </w:r>
    </w:p>
    <w:p>
      <w:pPr>
        <w:pStyle w:val="TextBody"/>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incorporate by reference into this prospectus the following documents (SEC File No. 001-36159), which contain important information about us and our business and financial results:</w:t>
      </w:r>
    </w:p>
    <w:p>
      <w:pPr>
        <w:pStyle w:val="TextBody"/>
        <w:shd w:fill="FFFFFF" w:val="clear"/>
        <w:bidi w:val="0"/>
        <w:spacing w:before="0" w:after="0"/>
        <w:ind w:left="0" w:right="0" w:firstLine="490"/>
        <w:jc w:val="left"/>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75"/>
        <w:gridCol w:w="170"/>
        <w:gridCol w:w="9960"/>
      </w:tblGrid>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283"/>
              <w:jc w:val="both"/>
              <w:rPr/>
            </w:pPr>
            <w:r>
              <w:rPr>
                <w:rFonts w:ascii="Times New Roman;Times;Serif" w:hAnsi="Times New Roman;Times;Serif"/>
                <w:b w:val="false"/>
                <w:i w:val="false"/>
                <w:caps w:val="false"/>
                <w:smallCaps w:val="false"/>
                <w:sz w:val="20"/>
              </w:rPr>
              <w:t xml:space="preserve">Our Annual Report on </w:t>
            </w:r>
            <w:hyperlink r:id="rId3">
              <w:r>
                <w:rPr>
                  <w:rStyle w:val="InternetLink"/>
                  <w:rFonts w:ascii="Times New Roman;Times;Serif" w:hAnsi="Times New Roman;Times;Serif"/>
                  <w:b w:val="false"/>
                  <w:i w:val="false"/>
                  <w:caps w:val="false"/>
                  <w:smallCaps w:val="false"/>
                  <w:sz w:val="20"/>
                </w:rPr>
                <w:t>Form 10-K</w:t>
              </w:r>
            </w:hyperlink>
            <w:r>
              <w:rPr>
                <w:rFonts w:ascii="Times New Roman;Times;Serif" w:hAnsi="Times New Roman;Times;Serif"/>
                <w:b w:val="false"/>
                <w:i w:val="false"/>
                <w:caps w:val="false"/>
                <w:smallCaps w:val="false"/>
                <w:sz w:val="20"/>
              </w:rPr>
              <w:t xml:space="preserve"> for the fiscal year ended December 31, 2025, filed with the SEC on March 12, 2026, as amended by our Annual Report on </w:t>
            </w:r>
            <w:hyperlink r:id="rId4">
              <w:r>
                <w:rPr>
                  <w:rStyle w:val="InternetLink"/>
                  <w:rFonts w:ascii="Times New Roman;Times;Serif" w:hAnsi="Times New Roman;Times;Serif"/>
                  <w:b w:val="false"/>
                  <w:i w:val="false"/>
                  <w:caps w:val="false"/>
                  <w:smallCaps w:val="false"/>
                  <w:sz w:val="20"/>
                </w:rPr>
                <w:t>Form 10-K/A</w:t>
              </w:r>
            </w:hyperlink>
            <w:r>
              <w:rPr>
                <w:rFonts w:ascii="Times New Roman;Times;Serif" w:hAnsi="Times New Roman;Times;Serif"/>
                <w:b w:val="false"/>
                <w:i w:val="false"/>
                <w:caps w:val="false"/>
                <w:smallCaps w:val="false"/>
                <w:sz w:val="20"/>
              </w:rPr>
              <w:t xml:space="preserve"> filed with the SEC on April 3, 2026;</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283"/>
              <w:jc w:val="both"/>
              <w:rPr/>
            </w:pPr>
            <w:r>
              <w:rPr>
                <w:rFonts w:ascii="Times New Roman;Times;Serif" w:hAnsi="Times New Roman;Times;Serif"/>
                <w:b w:val="false"/>
                <w:i w:val="false"/>
                <w:caps w:val="false"/>
                <w:smallCaps w:val="false"/>
                <w:sz w:val="20"/>
              </w:rPr>
              <w:t xml:space="preserve">Our Quarterly Report on </w:t>
            </w:r>
            <w:hyperlink r:id="rId5">
              <w:r>
                <w:rPr>
                  <w:rStyle w:val="InternetLink"/>
                  <w:rFonts w:ascii="Times New Roman;Times;Serif" w:hAnsi="Times New Roman;Times;Serif"/>
                  <w:b w:val="false"/>
                  <w:i w:val="false"/>
                  <w:caps w:val="false"/>
                  <w:smallCaps w:val="false"/>
                  <w:sz w:val="20"/>
                </w:rPr>
                <w:t>Form 10-Q</w:t>
              </w:r>
            </w:hyperlink>
            <w:r>
              <w:rPr>
                <w:rFonts w:ascii="Times New Roman;Times;Serif" w:hAnsi="Times New Roman;Times;Serif"/>
                <w:b w:val="false"/>
                <w:i w:val="false"/>
                <w:caps w:val="false"/>
                <w:smallCaps w:val="false"/>
                <w:sz w:val="20"/>
              </w:rPr>
              <w:t xml:space="preserve"> for the fiscal quarter ended March 31, 2026, filed with the SEC on May 13, 2026; </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283"/>
              <w:jc w:val="both"/>
              <w:rPr/>
            </w:pPr>
            <w:r>
              <w:rPr>
                <w:rFonts w:ascii="Times New Roman;Times;Serif" w:hAnsi="Times New Roman;Times;Serif"/>
                <w:b w:val="false"/>
                <w:i w:val="false"/>
                <w:caps w:val="false"/>
                <w:smallCaps w:val="false"/>
                <w:sz w:val="20"/>
              </w:rPr>
              <w:t xml:space="preserve">Our Current Reports on Form 8-K filed with the SEC on </w:t>
            </w:r>
            <w:hyperlink r:id="rId6">
              <w:r>
                <w:rPr>
                  <w:rStyle w:val="InternetLink"/>
                  <w:rFonts w:ascii="Times New Roman;Times;Serif" w:hAnsi="Times New Roman;Times;Serif"/>
                  <w:b w:val="false"/>
                  <w:i w:val="false"/>
                  <w:caps w:val="false"/>
                  <w:smallCaps w:val="false"/>
                  <w:sz w:val="20"/>
                </w:rPr>
                <w:t>April 15, 2026</w:t>
              </w:r>
            </w:hyperlink>
            <w:r>
              <w:rPr>
                <w:rFonts w:ascii="Times New Roman;Times;Serif" w:hAnsi="Times New Roman;Times;Serif"/>
                <w:b w:val="false"/>
                <w:i w:val="false"/>
                <w:caps w:val="false"/>
                <w:smallCaps w:val="false"/>
                <w:sz w:val="20"/>
              </w:rPr>
              <w:t xml:space="preserve">, </w:t>
            </w:r>
            <w:hyperlink r:id="rId7">
              <w:r>
                <w:rPr>
                  <w:rStyle w:val="InternetLink"/>
                  <w:rFonts w:ascii="Times New Roman;Times;Serif" w:hAnsi="Times New Roman;Times;Serif"/>
                  <w:b w:val="false"/>
                  <w:i w:val="false"/>
                  <w:caps w:val="false"/>
                  <w:smallCaps w:val="false"/>
                  <w:sz w:val="20"/>
                </w:rPr>
                <w:t>May 15, 2026</w:t>
              </w:r>
            </w:hyperlink>
            <w:r>
              <w:rPr>
                <w:rFonts w:ascii="Times New Roman;Times;Serif" w:hAnsi="Times New Roman;Times;Serif"/>
                <w:b w:val="false"/>
                <w:i w:val="false"/>
                <w:caps w:val="false"/>
                <w:smallCaps w:val="false"/>
                <w:sz w:val="20"/>
              </w:rPr>
              <w:t xml:space="preserve"> and </w:t>
            </w:r>
            <w:hyperlink r:id="rId8">
              <w:r>
                <w:rPr>
                  <w:rStyle w:val="InternetLink"/>
                  <w:rFonts w:ascii="Times New Roman;Times;Serif" w:hAnsi="Times New Roman;Times;Serif"/>
                  <w:b w:val="false"/>
                  <w:i w:val="false"/>
                  <w:caps w:val="false"/>
                  <w:smallCaps w:val="false"/>
                  <w:sz w:val="20"/>
                </w:rPr>
                <w:t>July 9, 2026</w:t>
              </w:r>
            </w:hyperlink>
            <w:r>
              <w:rPr>
                <w:rFonts w:ascii="Times New Roman;Times;Serif" w:hAnsi="Times New Roman;Times;Serif"/>
                <w:b w:val="false"/>
                <w:i w:val="false"/>
                <w:caps w:val="false"/>
                <w:smallCaps w:val="false"/>
                <w:sz w:val="20"/>
              </w:rPr>
              <w:t>;</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283"/>
              <w:jc w:val="both"/>
              <w:rPr/>
            </w:pPr>
            <w:r>
              <w:rPr>
                <w:rFonts w:ascii="Times New Roman;Times;Serif" w:hAnsi="Times New Roman;Times;Serif"/>
                <w:b w:val="false"/>
                <w:i w:val="false"/>
                <w:caps w:val="false"/>
                <w:smallCaps w:val="false"/>
                <w:sz w:val="20"/>
              </w:rPr>
              <w:t xml:space="preserve">The portions of our </w:t>
            </w:r>
            <w:hyperlink r:id="rId9">
              <w:r>
                <w:rPr>
                  <w:rStyle w:val="InternetLink"/>
                  <w:rFonts w:ascii="Times New Roman;Times;Serif" w:hAnsi="Times New Roman;Times;Serif"/>
                  <w:b w:val="false"/>
                  <w:i w:val="false"/>
                  <w:caps w:val="false"/>
                  <w:smallCaps w:val="false"/>
                  <w:sz w:val="20"/>
                </w:rPr>
                <w:t>Definitive Proxy Statement on Schedule 14A</w:t>
              </w:r>
            </w:hyperlink>
            <w:r>
              <w:rPr>
                <w:rFonts w:ascii="Times New Roman;Times;Serif" w:hAnsi="Times New Roman;Times;Serif"/>
                <w:b w:val="false"/>
                <w:i w:val="false"/>
                <w:caps w:val="false"/>
                <w:smallCaps w:val="false"/>
                <w:sz w:val="20"/>
              </w:rPr>
              <w:t>, filed on April 3, 2026, that are deemed “filed” with the SEC under the Exchange Act; and</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283"/>
              <w:jc w:val="both"/>
              <w:rPr/>
            </w:pPr>
            <w:r>
              <w:rPr>
                <w:rFonts w:ascii="Times New Roman;Times;Serif" w:hAnsi="Times New Roman;Times;Serif"/>
                <w:b w:val="false"/>
                <w:i w:val="false"/>
                <w:caps w:val="false"/>
                <w:smallCaps w:val="false"/>
                <w:sz w:val="20"/>
              </w:rPr>
              <w:t xml:space="preserve">The description of our common stock filed as </w:t>
            </w:r>
            <w:hyperlink r:id="rId10">
              <w:r>
                <w:rPr>
                  <w:rStyle w:val="InternetLink"/>
                  <w:rFonts w:ascii="Times New Roman;Times;Serif" w:hAnsi="Times New Roman;Times;Serif"/>
                  <w:b w:val="false"/>
                  <w:i w:val="false"/>
                  <w:caps w:val="false"/>
                  <w:smallCaps w:val="false"/>
                  <w:sz w:val="20"/>
                </w:rPr>
                <w:t>Exhibit 4.2</w:t>
              </w:r>
            </w:hyperlink>
            <w:r>
              <w:rPr>
                <w:rFonts w:ascii="Times New Roman;Times;Serif" w:hAnsi="Times New Roman;Times;Serif"/>
                <w:b w:val="false"/>
                <w:i w:val="false"/>
                <w:caps w:val="false"/>
                <w:smallCaps w:val="false"/>
                <w:sz w:val="20"/>
              </w:rPr>
              <w:t xml:space="preserve"> to our Annual Report on Form 10-K for the fiscal year ended December 31, 2025, filed with the SEC on March 12, 2026 and any amendment or report filed with the SEC for the purpose of updating the description.</w:t>
            </w:r>
          </w:p>
        </w:tc>
      </w:tr>
    </w:tbl>
    <w:p>
      <w:pPr>
        <w:pStyle w:val="TextBody"/>
        <w:shd w:fill="FFFFFF" w:val="clear"/>
        <w:bidi w:val="0"/>
        <w:spacing w:before="0" w:after="0"/>
        <w:ind w:left="0" w:right="0" w:hanging="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incorporate by reference any additional filings made by us with the SEC under Section 13(a), 13(c), 14 or 15(d) of the Securities Exchange Act of 1934 (other than the portions of those made pursuant to Item 2.02 or Item 7.01 of Form 8-K or other information “furnished” to the SEC) </w:t>
      </w:r>
      <w:r>
        <w:rPr>
          <w:rFonts w:ascii="Times New Roman;Times;Serif" w:hAnsi="Times New Roman;Times;Serif"/>
          <w:b w:val="false"/>
          <w:i w:val="false"/>
          <w:caps w:val="false"/>
          <w:smallCaps w:val="false"/>
          <w:sz w:val="20"/>
          <w:shd w:fill="FFFFFF" w:val="clear"/>
        </w:rPr>
        <w:t>after the filing of the initial registration statement (including all such documents that we may file with the SEC after the date the registration statement was initially filed and prior to the effectiveness of the registration statement) and before the filing of a post-effective amendment to the registration statement of which this prospectus is a part that indicates that all securities offered hereunder have been sold or that deregisters all securities then remaining unsold (other than information furnished and not filed with the SEC)</w:t>
      </w:r>
      <w:r>
        <w:rPr>
          <w:rFonts w:ascii="Times New Roman;Times;Serif" w:hAnsi="Times New Roman;Times;Serif"/>
          <w:b w:val="false"/>
          <w:i w:val="false"/>
          <w:caps w:val="false"/>
          <w:smallCaps w:val="false"/>
          <w:sz w:val="20"/>
        </w:rPr>
        <w:t>. These documents may include periodic reports, like Annual Reports on Form 10-K, Quarterly Reports on Form 10-Q and Current Reports on Form 8-K, as well as Proxy Statements. Any material that we subsequently file with the SEC will automatically update and replace the information previously filed with the SEC.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the registration statement of which this prospectus is a part, any statement contained in a document incorporated or deemed to be incorporated herein by reference shall be deemed to be modified or superseded to the extent that a statement contained herein or in any other subsequently filed document which also is or is deemed to be incorporated herein by reference modifies or supersedes such statement in such document. Any statement so modified or superseded shall not be deemed, except as so modified or superseded, to constitute a part of the registration statement of which this prospectus is a part.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may receive copies of any of the documents incorporated by reference (excluding exhibits, unless the exhibits are specifically incorporated) at no charge to you by writing or calling the Investor Relations Department at Stereotaxis, Inc., 710 North Tucker Boulevard, Suite 110, St. Louis, Missouri 63101, telephone number (314) 678-6100.</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21</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PART II INFORMATION NOT REQUIRED IN PROSPECTUS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14. Other Expenses of Issuances and Distribution.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costs and expenses, other than underwriting discounts and commissions, payable by Stereotaxis, Inc. in connection with the issuance and distribution of the securities being registered. All amounts are estimates except the SEC registration fee.</w:t>
      </w:r>
    </w:p>
    <w:p>
      <w:pPr>
        <w:pStyle w:val="TextBody"/>
        <w:bidi w:val="0"/>
        <w:spacing w:before="0" w:after="0"/>
        <w:ind w:left="0" w:right="0" w:firstLine="490"/>
        <w:jc w:val="left"/>
        <w:rPr>
          <w:caps w:val="false"/>
          <w:smallCaps w:val="false"/>
        </w:rPr>
      </w:pPr>
      <w:r>
        <w:rPr>
          <w:caps w:val="false"/>
          <w:smallCaps w:val="false"/>
        </w:rPr>
        <w:t> </w:t>
      </w:r>
    </w:p>
    <w:tbl>
      <w:tblPr>
        <w:tblW w:w="5840" w:type="dxa"/>
        <w:jc w:val="left"/>
        <w:tblInd w:w="0" w:type="dxa"/>
        <w:tblLayout w:type="fixed"/>
        <w:tblCellMar>
          <w:top w:w="0" w:type="dxa"/>
          <w:left w:w="0" w:type="dxa"/>
          <w:bottom w:w="0" w:type="dxa"/>
          <w:right w:w="0" w:type="dxa"/>
        </w:tblCellMar>
      </w:tblPr>
      <w:tblGrid>
        <w:gridCol w:w="4505"/>
        <w:gridCol w:w="60"/>
        <w:gridCol w:w="140"/>
        <w:gridCol w:w="980"/>
        <w:gridCol w:w="155"/>
      </w:tblGrid>
      <w:tr>
        <w:trPr/>
        <w:tc>
          <w:tcPr>
            <w:tcW w:w="45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Securities and Exchange Commission filing fee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4,351.30</w:t>
            </w:r>
          </w:p>
        </w:tc>
        <w:tc>
          <w:tcPr>
            <w:tcW w:w="155" w:type="dxa"/>
            <w:tcBorders/>
            <w:shd w:fill="CCEEFF" w:val="clear"/>
            <w:vAlign w:val="center"/>
          </w:tcPr>
          <w:p>
            <w:pPr>
              <w:pStyle w:val="TableContents"/>
              <w:bidi w:val="0"/>
              <w:spacing w:before="0" w:after="283"/>
              <w:jc w:val="left"/>
              <w:rPr/>
            </w:pPr>
            <w:r>
              <w:rPr/>
              <w:t> </w:t>
            </w:r>
          </w:p>
        </w:tc>
      </w:tr>
      <w:tr>
        <w:trPr/>
        <w:tc>
          <w:tcPr>
            <w:tcW w:w="450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Legal fees and expenses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50,000</w:t>
            </w:r>
          </w:p>
        </w:tc>
        <w:tc>
          <w:tcPr>
            <w:tcW w:w="15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5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Accounting fees and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10,000</w:t>
            </w:r>
          </w:p>
        </w:tc>
        <w:tc>
          <w:tcPr>
            <w:tcW w:w="15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50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Edgar fees and printing expenses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5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5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expenses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64,351.30</w:t>
            </w:r>
          </w:p>
        </w:tc>
        <w:tc>
          <w:tcPr>
            <w:tcW w:w="15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Estimated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15. Indemnification of Directors and Officers.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amended and restated Certificate of Incorporation provides that, to the fullest extent permitted by the Delaware General Corporation Law as the same exists or may hereafter be amended, our directors shall not be liable to the Company or our stockholders for monetary damages for breach of fiduciary duty as a director. In addition, our Certificate of Incorporation provides that we may, to the fullest extent permitted by law, indemnify any person made or threatened to be made a party to an action, suit or proceeding, whether criminal, civil, administrative or investigative, by reason of the fact that such person or his or her testator or intestate is or was a director, officer or employee of the Company, or any predecessor of the Company, or serves or served at any other enterprise as a director, officer or employee at the request of the Company.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amended and restated Bylaws provide that the Company shall indemnify our directors and officers to the fullest extent not prohibited by the Delaware General Corporation Law or any other law. We are not required to indemnify any director or officer in connection with a proceeding brought by such director or officer unless (i) such indemnification is expressly required by law; (ii) the proceeding was authorized by our Board of Directors; or (iii) such indemnification is provided by the Company, in its sole discretion, pursuant to the powers vested in the Company under the Delaware General Corporation Law or any other applicable law. In addition, our Bylaws provide that the Company may indemnify its employees and other agents as set forth in the Delaware General Corporation Law or any other applicable law.</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also entered into separate indemnification agreements with our directors that require us, among other things, to indemnify each of them against certain liabilities that may arise by reason of their status or service with the Company or on behalf of the Company, other than liabilities arising from willful misconduct of a culpable nature. The Company is not required to indemnify under the agreement for (i) actions initiated by the director without the authorization of consent of the Board of Directors; (ii) actions initiated to enforce the indemnification agreement unless the director is successful; (iii) actions resulting from violations of Section 16 of the Exchange Act in which a final judgment has been rendered against the director; and (iv) actions to enforce any non-compete or non-disclosure provisions of any agreement.</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indemnification provided for above provides for reimbursement of all losses of the indemnified party including, expenses, judgment, fines and amounts paid in settlement. The right to indemnification set forth above includes the right for us to pay the expenses (including attorneys’ fees) incurred in defending any such proceeding in advance of its final disposition in certain circumstances.</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Delaware General Corporation Law provides that indemnification is permissible only when the director, officer, employee, or agent acted in good faith and in a manner reasonably believed to be in or not opposed to the best interests of the corporation, and, with respect to any criminal action or proceeding, had no reasonable cause to believe the conduct was unlawful. The Delaware General Corporation Law also precludes indemnification in respect of any claim, issue, or matter as to which an officer, director, employee, or agent shall have been adjudged to be liable to the corporation unless and only to the extent that the Court of Chancery of the State of Delaware or the court in which such action or suit was brought shall determine that, despite such adjudication of liability, but in view of all the circumstances of the case, such person is fairly and reasonably entitled to indemnity for such expenses which the Court of Chancery or such other court deems proper.</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Item 17 for information regarding our undertaking to submit to adjudication the issue of indemnification for violation of the securities laws.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 maintains insurance policies that provide coverage to its directors and officers against certain liabilities.</w:t>
      </w:r>
    </w:p>
    <w:p>
      <w:pPr>
        <w:pStyle w:val="TextBody"/>
        <w:bidi w:val="0"/>
        <w:spacing w:before="0" w:after="0"/>
        <w:ind w:left="0" w:right="0" w:firstLine="360"/>
        <w:jc w:val="both"/>
        <w:rPr>
          <w:caps w:val="false"/>
          <w:smallCaps w:val="false"/>
        </w:rPr>
      </w:pPr>
      <w:r>
        <w:rPr>
          <w:caps w:val="false"/>
          <w:smallCaps w:val="false"/>
        </w:rPr>
        <w:t> </w:t>
      </w:r>
    </w:p>
    <w:tbl>
      <w:tblPr>
        <w:tblW w:w="395" w:type="dxa"/>
        <w:jc w:val="left"/>
        <w:tblInd w:w="0" w:type="dxa"/>
        <w:tblLayout w:type="fixed"/>
        <w:tblCellMar>
          <w:top w:w="0" w:type="dxa"/>
          <w:left w:w="0" w:type="dxa"/>
          <w:bottom w:w="0" w:type="dxa"/>
          <w:right w:w="0" w:type="dxa"/>
        </w:tblCellMar>
      </w:tblPr>
      <w:tblGrid>
        <w:gridCol w:w="395"/>
      </w:tblGrid>
      <w:tr>
        <w:trPr/>
        <w:tc>
          <w:tcPr>
            <w:tcW w:w="395" w:type="dxa"/>
            <w:tcBorders/>
            <w:vAlign w:val="center"/>
          </w:tcPr>
          <w:p>
            <w:pPr>
              <w:pStyle w:val="TableContents"/>
              <w:bidi w:val="0"/>
              <w:spacing w:before="0" w:after="283"/>
              <w:jc w:val="center"/>
              <w:rPr/>
            </w:pPr>
            <w:r>
              <w:rPr/>
              <w:t>II-1</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16.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documents are filed as exhibits to this registration statement:</w:t>
      </w:r>
    </w:p>
    <w:p>
      <w:pPr>
        <w:pStyle w:val="TextBody"/>
        <w:bidi w:val="0"/>
        <w:spacing w:before="0" w:after="0"/>
        <w:ind w:left="0" w:right="0" w:firstLine="49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028"/>
        <w:gridCol w:w="60"/>
        <w:gridCol w:w="9117"/>
      </w:tblGrid>
      <w:tr>
        <w:trPr/>
        <w:tc>
          <w:tcPr>
            <w:tcW w:w="1028"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Number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117"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Document Description</w:t>
            </w:r>
          </w:p>
        </w:tc>
      </w:tr>
      <w:tr>
        <w:trPr/>
        <w:tc>
          <w:tcPr>
            <w:tcW w:w="1028"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117" w:type="dxa"/>
            <w:tcBorders/>
            <w:tcMar>
              <w:bottom w:w="0" w:type="dxa"/>
            </w:tcMar>
            <w:vAlign w:val="center"/>
          </w:tcPr>
          <w:p>
            <w:pPr>
              <w:pStyle w:val="TableContents"/>
              <w:bidi w:val="0"/>
              <w:spacing w:before="0" w:after="283"/>
              <w:jc w:val="both"/>
              <w:rPr/>
            </w:pPr>
            <w:hyperlink w:anchor="ex2-1.htm">
              <w:r>
                <w:rPr>
                  <w:rStyle w:val="InternetLink"/>
                  <w:rFonts w:ascii="Times New Roman;Times;Serif" w:hAnsi="Times New Roman;Times;Serif"/>
                  <w:b w:val="false"/>
                  <w:i w:val="false"/>
                  <w:caps w:val="false"/>
                  <w:smallCaps w:val="false"/>
                  <w:sz w:val="20"/>
                </w:rPr>
                <w:t>Share Sale Agreement, dated as of April 14, 2026, by and among the Registrant, Robocath, the securityholders of Robocath party thereto, and Philippe Bencteux, as Manager.</w:t>
              </w:r>
            </w:hyperlink>
          </w:p>
        </w:tc>
      </w:tr>
      <w:tr>
        <w:trPr/>
        <w:tc>
          <w:tcPr>
            <w:tcW w:w="1028"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117"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1028"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117" w:type="dxa"/>
            <w:tcBorders/>
            <w:tcMar>
              <w:bottom w:w="0" w:type="dxa"/>
            </w:tcMar>
            <w:vAlign w:val="center"/>
          </w:tcPr>
          <w:p>
            <w:pPr>
              <w:pStyle w:val="TableContents"/>
              <w:bidi w:val="0"/>
              <w:spacing w:before="0" w:after="283"/>
              <w:jc w:val="both"/>
              <w:rPr/>
            </w:pPr>
            <w:hyperlink w:anchor="ex2-2.htm">
              <w:r>
                <w:rPr>
                  <w:rStyle w:val="InternetLink"/>
                  <w:rFonts w:ascii="Times New Roman;Times;Serif" w:hAnsi="Times New Roman;Times;Serif"/>
                  <w:b w:val="false"/>
                  <w:i w:val="false"/>
                  <w:caps w:val="false"/>
                  <w:smallCaps w:val="false"/>
                  <w:sz w:val="20"/>
                </w:rPr>
                <w:t>Joinder Agreement, dated as of July 7, 2026, by and among European Investment Bank, the Registrant, Philippe Bencteux and Supernova Invest, relating to the Share Sale Agreement dated as of April 14, 2026.</w:t>
              </w:r>
            </w:hyperlink>
          </w:p>
        </w:tc>
      </w:tr>
      <w:tr>
        <w:trPr/>
        <w:tc>
          <w:tcPr>
            <w:tcW w:w="1028"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117"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1028"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3.1a</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117" w:type="dxa"/>
            <w:tcBorders/>
            <w:tcMar>
              <w:bottom w:w="0" w:type="dxa"/>
            </w:tcMar>
            <w:vAlign w:val="center"/>
          </w:tcPr>
          <w:p>
            <w:pPr>
              <w:pStyle w:val="TableContents"/>
              <w:bidi w:val="0"/>
              <w:spacing w:before="0" w:after="283"/>
              <w:jc w:val="both"/>
              <w:rPr/>
            </w:pPr>
            <w:hyperlink r:id="rId11">
              <w:r>
                <w:rPr>
                  <w:rStyle w:val="InternetLink"/>
                  <w:rFonts w:ascii="Times New Roman;Times;Serif" w:hAnsi="Times New Roman;Times;Serif"/>
                  <w:b w:val="false"/>
                  <w:i w:val="false"/>
                  <w:caps w:val="false"/>
                  <w:smallCaps w:val="false"/>
                  <w:sz w:val="20"/>
                </w:rPr>
                <w:t>Restated Articles of Incorporation of the Registrant, incorporated by reference to Exhibit 3.1 of the Registrant’s Form 10-Q (File No. 000-50884) for the fiscal quarter ended September 30, 2004.</w:t>
              </w:r>
            </w:hyperlink>
          </w:p>
        </w:tc>
      </w:tr>
      <w:tr>
        <w:trPr/>
        <w:tc>
          <w:tcPr>
            <w:tcW w:w="1028"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117"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1028"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3.1b</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117" w:type="dxa"/>
            <w:tcBorders/>
            <w:tcMar>
              <w:bottom w:w="0" w:type="dxa"/>
            </w:tcMar>
            <w:vAlign w:val="center"/>
          </w:tcPr>
          <w:p>
            <w:pPr>
              <w:pStyle w:val="TableContents"/>
              <w:bidi w:val="0"/>
              <w:spacing w:before="0" w:after="283"/>
              <w:jc w:val="both"/>
              <w:rPr/>
            </w:pPr>
            <w:hyperlink r:id="rId12">
              <w:r>
                <w:rPr>
                  <w:rStyle w:val="InternetLink"/>
                  <w:rFonts w:ascii="Times New Roman;Times;Serif" w:hAnsi="Times New Roman;Times;Serif"/>
                  <w:b w:val="false"/>
                  <w:i w:val="false"/>
                  <w:caps w:val="false"/>
                  <w:smallCaps w:val="false"/>
                  <w:sz w:val="20"/>
                </w:rPr>
                <w:t>Certificate of Amendment to Amended and Restated Certificate of Incorporation, incorporated by reference to Exhibit 3.1 of the Registrant’s Form 8-K (File No. 000-50884) filed on July 10, 2012.</w:t>
              </w:r>
            </w:hyperlink>
          </w:p>
        </w:tc>
      </w:tr>
      <w:tr>
        <w:trPr/>
        <w:tc>
          <w:tcPr>
            <w:tcW w:w="1028"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117"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1028"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117" w:type="dxa"/>
            <w:tcBorders/>
            <w:tcMar>
              <w:bottom w:w="0" w:type="dxa"/>
            </w:tcMar>
            <w:vAlign w:val="center"/>
          </w:tcPr>
          <w:p>
            <w:pPr>
              <w:pStyle w:val="TableContents"/>
              <w:bidi w:val="0"/>
              <w:spacing w:before="0" w:after="283"/>
              <w:jc w:val="both"/>
              <w:rPr/>
            </w:pPr>
            <w:hyperlink r:id="rId13">
              <w:r>
                <w:rPr>
                  <w:rStyle w:val="InternetLink"/>
                  <w:rFonts w:ascii="Times New Roman;Times;Serif" w:hAnsi="Times New Roman;Times;Serif"/>
                  <w:b w:val="false"/>
                  <w:i w:val="false"/>
                  <w:caps w:val="false"/>
                  <w:smallCaps w:val="false"/>
                  <w:sz w:val="20"/>
                </w:rPr>
                <w:t>Certificate of Designations, Preferences and Rights of Series A Convertible Preferred Stock, incorporated by reference to Exhibit 3.1 of the Registrant’s Current Report on Form 8-K (File No. 001-36159) filed on September 30, 2016.</w:t>
              </w:r>
            </w:hyperlink>
          </w:p>
        </w:tc>
      </w:tr>
      <w:tr>
        <w:trPr/>
        <w:tc>
          <w:tcPr>
            <w:tcW w:w="1028"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117"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1028"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117" w:type="dxa"/>
            <w:tcBorders/>
            <w:tcMar>
              <w:bottom w:w="0" w:type="dxa"/>
            </w:tcMar>
            <w:vAlign w:val="center"/>
          </w:tcPr>
          <w:p>
            <w:pPr>
              <w:pStyle w:val="TableContents"/>
              <w:bidi w:val="0"/>
              <w:spacing w:before="0" w:after="283"/>
              <w:jc w:val="both"/>
              <w:rPr/>
            </w:pPr>
            <w:hyperlink r:id="rId14">
              <w:r>
                <w:rPr>
                  <w:rStyle w:val="InternetLink"/>
                  <w:rFonts w:ascii="Times New Roman;Times;Serif" w:hAnsi="Times New Roman;Times;Serif"/>
                  <w:b w:val="false"/>
                  <w:i w:val="false"/>
                  <w:caps w:val="false"/>
                  <w:smallCaps w:val="false"/>
                  <w:sz w:val="20"/>
                </w:rPr>
                <w:t>Restated Bylaws of the Registrant, incorporated by reference to Exhibit 3.2 of the Registrant’s Form 10-Q (File No. 000-50884) for the fiscal quarter ended September 30, 2004.</w:t>
              </w:r>
            </w:hyperlink>
          </w:p>
        </w:tc>
      </w:tr>
      <w:tr>
        <w:trPr/>
        <w:tc>
          <w:tcPr>
            <w:tcW w:w="1028"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117"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1028"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117" w:type="dxa"/>
            <w:tcBorders/>
            <w:tcMar>
              <w:bottom w:w="0" w:type="dxa"/>
            </w:tcMar>
            <w:vAlign w:val="center"/>
          </w:tcPr>
          <w:p>
            <w:pPr>
              <w:pStyle w:val="TableContents"/>
              <w:bidi w:val="0"/>
              <w:spacing w:before="0" w:after="283"/>
              <w:jc w:val="both"/>
              <w:rPr/>
            </w:pPr>
            <w:hyperlink r:id="rId15">
              <w:r>
                <w:rPr>
                  <w:rStyle w:val="InternetLink"/>
                  <w:rFonts w:ascii="Times New Roman;Times;Serif" w:hAnsi="Times New Roman;Times;Serif"/>
                  <w:b w:val="false"/>
                  <w:i w:val="false"/>
                  <w:caps w:val="false"/>
                  <w:smallCaps w:val="false"/>
                  <w:sz w:val="20"/>
                </w:rPr>
                <w:t>Form of Specimen Stock Certificate, incorporated by reference to the Registration Statement on Form S-1 (File No. 333-115253) originally filed with the Commission on May 7, 2004, as amended thereafter, at Exhibit 4.1.</w:t>
              </w:r>
            </w:hyperlink>
          </w:p>
        </w:tc>
      </w:tr>
      <w:tr>
        <w:trPr/>
        <w:tc>
          <w:tcPr>
            <w:tcW w:w="1028"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117"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1028"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117" w:type="dxa"/>
            <w:tcBorders/>
            <w:tcMar>
              <w:bottom w:w="0" w:type="dxa"/>
            </w:tcMar>
            <w:vAlign w:val="center"/>
          </w:tcPr>
          <w:p>
            <w:pPr>
              <w:pStyle w:val="TableContents"/>
              <w:bidi w:val="0"/>
              <w:spacing w:before="0" w:after="283"/>
              <w:jc w:val="both"/>
              <w:rPr/>
            </w:pPr>
            <w:hyperlink r:id="rId16">
              <w:r>
                <w:rPr>
                  <w:rStyle w:val="InternetLink"/>
                  <w:rFonts w:ascii="Times New Roman;Times;Serif" w:hAnsi="Times New Roman;Times;Serif"/>
                  <w:b w:val="false"/>
                  <w:i w:val="false"/>
                  <w:caps w:val="false"/>
                  <w:smallCaps w:val="false"/>
                  <w:sz w:val="20"/>
                </w:rPr>
                <w:t>Description of Registrant’s securities registered pursuant to Section 12 of the Securities Exchange Act of 1934, incorporated by reference to Exhibit 4.2 of the Registrant’s Form 10-K (File No. 001-36159) filed on March 12, 2026.</w:t>
              </w:r>
            </w:hyperlink>
          </w:p>
        </w:tc>
      </w:tr>
      <w:tr>
        <w:trPr/>
        <w:tc>
          <w:tcPr>
            <w:tcW w:w="1028"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117"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1028"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117" w:type="dxa"/>
            <w:tcBorders/>
            <w:tcMar>
              <w:bottom w:w="0" w:type="dxa"/>
            </w:tcMar>
            <w:vAlign w:val="center"/>
          </w:tcPr>
          <w:p>
            <w:pPr>
              <w:pStyle w:val="TableContents"/>
              <w:bidi w:val="0"/>
              <w:spacing w:before="0" w:after="283"/>
              <w:jc w:val="both"/>
              <w:rPr/>
            </w:pPr>
            <w:hyperlink w:anchor="ex4-3.htm">
              <w:r>
                <w:rPr>
                  <w:rStyle w:val="InternetLink"/>
                  <w:rFonts w:ascii="Times New Roman;Times;Serif" w:hAnsi="Times New Roman;Times;Serif"/>
                  <w:b w:val="false"/>
                  <w:i w:val="false"/>
                  <w:caps w:val="false"/>
                  <w:smallCaps w:val="false"/>
                  <w:sz w:val="20"/>
                </w:rPr>
                <w:t>Form of Purchaser Warrant.</w:t>
              </w:r>
            </w:hyperlink>
          </w:p>
        </w:tc>
      </w:tr>
      <w:tr>
        <w:trPr/>
        <w:tc>
          <w:tcPr>
            <w:tcW w:w="1028"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117"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1028"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117" w:type="dxa"/>
            <w:tcBorders/>
            <w:tcMar>
              <w:bottom w:w="0" w:type="dxa"/>
            </w:tcMar>
            <w:vAlign w:val="center"/>
          </w:tcPr>
          <w:p>
            <w:pPr>
              <w:pStyle w:val="TableContents"/>
              <w:bidi w:val="0"/>
              <w:spacing w:before="0" w:after="283"/>
              <w:jc w:val="both"/>
              <w:rPr/>
            </w:pPr>
            <w:hyperlink w:anchor="ex5-1.htm">
              <w:r>
                <w:rPr>
                  <w:rStyle w:val="InternetLink"/>
                  <w:rFonts w:ascii="Times New Roman;Times;Serif" w:hAnsi="Times New Roman;Times;Serif"/>
                  <w:b w:val="false"/>
                  <w:i w:val="false"/>
                  <w:caps w:val="false"/>
                  <w:smallCaps w:val="false"/>
                  <w:sz w:val="20"/>
                </w:rPr>
                <w:t>Opinion of Bryan Cave Leighton Paisner LLP</w:t>
              </w:r>
            </w:hyperlink>
          </w:p>
        </w:tc>
      </w:tr>
      <w:tr>
        <w:trPr/>
        <w:tc>
          <w:tcPr>
            <w:tcW w:w="1028"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117"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1028"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117" w:type="dxa"/>
            <w:tcBorders/>
            <w:tcMar>
              <w:bottom w:w="0" w:type="dxa"/>
            </w:tcMar>
            <w:vAlign w:val="center"/>
          </w:tcPr>
          <w:p>
            <w:pPr>
              <w:pStyle w:val="TableContents"/>
              <w:bidi w:val="0"/>
              <w:spacing w:before="0" w:after="283"/>
              <w:jc w:val="both"/>
              <w:rPr/>
            </w:pPr>
            <w:hyperlink w:anchor="ex10-1.htm">
              <w:r>
                <w:rPr>
                  <w:rStyle w:val="InternetLink"/>
                  <w:rFonts w:ascii="Times New Roman;Times;Serif" w:hAnsi="Times New Roman;Times;Serif"/>
                  <w:b w:val="false"/>
                  <w:i w:val="false"/>
                  <w:caps w:val="false"/>
                  <w:smallCaps w:val="false"/>
                  <w:sz w:val="20"/>
                </w:rPr>
                <w:t>Resale Organization Agreement, dated as of July 7, 2026, by and among the Registrant and the securityholders of Robocath party thereto.</w:t>
              </w:r>
            </w:hyperlink>
          </w:p>
        </w:tc>
      </w:tr>
      <w:tr>
        <w:trPr/>
        <w:tc>
          <w:tcPr>
            <w:tcW w:w="1028"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117"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1028"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117" w:type="dxa"/>
            <w:tcBorders/>
            <w:tcMar>
              <w:bottom w:w="0" w:type="dxa"/>
            </w:tcMar>
            <w:vAlign w:val="center"/>
          </w:tcPr>
          <w:p>
            <w:pPr>
              <w:pStyle w:val="TableContents"/>
              <w:bidi w:val="0"/>
              <w:spacing w:before="0" w:after="283"/>
              <w:jc w:val="both"/>
              <w:rPr/>
            </w:pPr>
            <w:hyperlink w:anchor="ex23-1.htm">
              <w:r>
                <w:rPr>
                  <w:rStyle w:val="InternetLink"/>
                  <w:rFonts w:ascii="Times New Roman;Times;Serif" w:hAnsi="Times New Roman;Times;Serif"/>
                  <w:b w:val="false"/>
                  <w:i w:val="false"/>
                  <w:caps w:val="false"/>
                  <w:smallCaps w:val="false"/>
                  <w:sz w:val="20"/>
                </w:rPr>
                <w:t>Consent of Ernst &amp; Young LLP.</w:t>
              </w:r>
            </w:hyperlink>
          </w:p>
        </w:tc>
      </w:tr>
      <w:tr>
        <w:trPr/>
        <w:tc>
          <w:tcPr>
            <w:tcW w:w="1028"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117"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1028"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23.2*</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117" w:type="dxa"/>
            <w:tcBorders/>
            <w:tcMar>
              <w:bottom w:w="0" w:type="dxa"/>
            </w:tcMar>
            <w:vAlign w:val="center"/>
          </w:tcPr>
          <w:p>
            <w:pPr>
              <w:pStyle w:val="TableContents"/>
              <w:bidi w:val="0"/>
              <w:spacing w:before="0" w:after="283"/>
              <w:jc w:val="both"/>
              <w:rPr/>
            </w:pPr>
            <w:hyperlink w:anchor="ex5-1.htm">
              <w:r>
                <w:rPr>
                  <w:rStyle w:val="InternetLink"/>
                  <w:rFonts w:ascii="Times New Roman;Times;Serif" w:hAnsi="Times New Roman;Times;Serif"/>
                  <w:b w:val="false"/>
                  <w:i w:val="false"/>
                  <w:caps w:val="false"/>
                  <w:smallCaps w:val="false"/>
                  <w:sz w:val="20"/>
                </w:rPr>
                <w:t>Consent of Bryan Cave Leighton Paisner LLP (included in Exhibit 5.1).</w:t>
              </w:r>
            </w:hyperlink>
          </w:p>
        </w:tc>
      </w:tr>
      <w:tr>
        <w:trPr/>
        <w:tc>
          <w:tcPr>
            <w:tcW w:w="1028"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117"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1028"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117" w:type="dxa"/>
            <w:tcBorders/>
            <w:tcMar>
              <w:bottom w:w="0" w:type="dxa"/>
            </w:tcMar>
            <w:vAlign w:val="center"/>
          </w:tcPr>
          <w:p>
            <w:pPr>
              <w:pStyle w:val="TableContents"/>
              <w:bidi w:val="0"/>
              <w:spacing w:before="0" w:after="283"/>
              <w:jc w:val="both"/>
              <w:rPr/>
            </w:pPr>
            <w:hyperlink w:anchor="ex24-1.htm">
              <w:r>
                <w:rPr>
                  <w:rStyle w:val="InternetLink"/>
                  <w:rFonts w:ascii="Times New Roman;Times;Serif" w:hAnsi="Times New Roman;Times;Serif"/>
                  <w:b w:val="false"/>
                  <w:i w:val="false"/>
                  <w:caps w:val="false"/>
                  <w:smallCaps w:val="false"/>
                  <w:sz w:val="20"/>
                </w:rPr>
                <w:t>Power of Attorney</w:t>
              </w:r>
            </w:hyperlink>
          </w:p>
        </w:tc>
      </w:tr>
      <w:tr>
        <w:trPr/>
        <w:tc>
          <w:tcPr>
            <w:tcW w:w="1028"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117"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1028"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w:t>
            </w:r>
            <w:r>
              <w:rPr>
                <w:rFonts w:ascii="Times New Roman;Times;Serif" w:hAnsi="Times New Roman;Times;Serif"/>
                <w:b/>
                <w:i w:val="false"/>
                <w:caps w:val="false"/>
                <w:smallCaps w:val="false"/>
                <w:sz w:val="20"/>
              </w:rPr>
              <w:t>*</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117" w:type="dxa"/>
            <w:tcBorders/>
            <w:tcMar>
              <w:bottom w:w="0" w:type="dxa"/>
            </w:tcMar>
            <w:vAlign w:val="center"/>
          </w:tcPr>
          <w:p>
            <w:pPr>
              <w:pStyle w:val="TableContents"/>
              <w:bidi w:val="0"/>
              <w:spacing w:before="0" w:after="283"/>
              <w:jc w:val="both"/>
              <w:rPr/>
            </w:pPr>
            <w:hyperlink w:anchor="ex107.htm">
              <w:r>
                <w:rPr>
                  <w:rStyle w:val="InternetLink"/>
                  <w:rFonts w:ascii="Times New Roman;Times;Serif" w:hAnsi="Times New Roman;Times;Serif"/>
                  <w:b w:val="false"/>
                  <w:i w:val="false"/>
                  <w:caps w:val="false"/>
                  <w:smallCaps w:val="false"/>
                  <w:sz w:val="20"/>
                </w:rPr>
                <w:t>Filing Fee Table</w:t>
              </w:r>
            </w:hyperlink>
          </w:p>
        </w:tc>
      </w:tr>
    </w:tbl>
    <w:p>
      <w:pPr>
        <w:pStyle w:val="TextBody"/>
        <w:bidi w:val="0"/>
        <w:jc w:val="left"/>
        <w:rPr>
          <w:caps w:val="false"/>
          <w:smallCaps w:val="false"/>
        </w:rPr>
      </w:pPr>
      <w:r>
        <w:rPr>
          <w:caps w:val="false"/>
          <w:smallCaps w:val="false"/>
        </w:rPr>
        <w:t> </w:t>
      </w:r>
    </w:p>
    <w:tbl>
      <w:tblPr>
        <w:tblW w:w="1345" w:type="dxa"/>
        <w:jc w:val="left"/>
        <w:tblInd w:w="0" w:type="dxa"/>
        <w:tblLayout w:type="fixed"/>
        <w:tblCellMar>
          <w:top w:w="0" w:type="dxa"/>
          <w:left w:w="0" w:type="dxa"/>
          <w:bottom w:w="0" w:type="dxa"/>
          <w:right w:w="0" w:type="dxa"/>
        </w:tblCellMar>
      </w:tblPr>
      <w:tblGrid>
        <w:gridCol w:w="140"/>
        <w:gridCol w:w="1205"/>
      </w:tblGrid>
      <w:tr>
        <w:trPr/>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Filed herewith</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filing excludes certain schedules and exhibits pursuant to Item 601(a)(5) of Regulation S-K, which the registrant agrees to furnish supplementally to the Securities and Exchange Commission upon request; provided, however, that the registrant may request confidential treatment for any schedules or exhibits so furnished.</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caps w:val="false"/>
                <w:smallCaps w:val="false"/>
              </w:rPr>
            </w:pPr>
            <w:r>
              <w:rPr>
                <w:caps w:val="false"/>
                <w:smallCaps w:val="false"/>
              </w:rPr>
              <w:t>†</w:t>
            </w:r>
          </w:p>
        </w:tc>
        <w:tc>
          <w:tcPr>
            <w:tcW w:w="100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permitted by Regulation S-K, Item 601(b)(2)(ii) of the Securities Exchange Act of 1934, as amended, certain confidential portions of this exhibit have been redacted from the publicly filed document.</w:t>
            </w:r>
          </w:p>
        </w:tc>
      </w:tr>
    </w:tbl>
    <w:p>
      <w:pPr>
        <w:pStyle w:val="TextBody"/>
        <w:bidi w:val="0"/>
        <w:spacing w:before="0" w:after="0"/>
        <w:ind w:left="180" w:right="0" w:hanging="180"/>
        <w:jc w:val="left"/>
        <w:rPr>
          <w:caps w:val="false"/>
          <w:smallCaps w:val="false"/>
        </w:rPr>
      </w:pPr>
      <w:r>
        <w:rPr>
          <w:caps w:val="false"/>
          <w:smallCaps w:val="false"/>
        </w:rPr>
        <w:t> </w:t>
      </w:r>
    </w:p>
    <w:tbl>
      <w:tblPr>
        <w:tblW w:w="395" w:type="dxa"/>
        <w:jc w:val="left"/>
        <w:tblInd w:w="0" w:type="dxa"/>
        <w:tblLayout w:type="fixed"/>
        <w:tblCellMar>
          <w:top w:w="0" w:type="dxa"/>
          <w:left w:w="0" w:type="dxa"/>
          <w:bottom w:w="0" w:type="dxa"/>
          <w:right w:w="0" w:type="dxa"/>
        </w:tblCellMar>
      </w:tblPr>
      <w:tblGrid>
        <w:gridCol w:w="395"/>
      </w:tblGrid>
      <w:tr>
        <w:trPr/>
        <w:tc>
          <w:tcPr>
            <w:tcW w:w="395" w:type="dxa"/>
            <w:tcBorders/>
            <w:vAlign w:val="center"/>
          </w:tcPr>
          <w:p>
            <w:pPr>
              <w:pStyle w:val="TableContents"/>
              <w:bidi w:val="0"/>
              <w:spacing w:before="0" w:after="283"/>
              <w:jc w:val="center"/>
              <w:rPr/>
            </w:pPr>
            <w:r>
              <w:rPr/>
              <w:t>II-2</w:t>
            </w:r>
          </w:p>
        </w:tc>
      </w:tr>
    </w:tbl>
    <w:p>
      <w:pPr>
        <w:pStyle w:val="TextBody"/>
        <w:bidi w:val="0"/>
        <w:spacing w:before="0" w:after="0"/>
        <w:ind w:left="0" w:right="0" w:hanging="0"/>
        <w:jc w:val="left"/>
        <w:rPr/>
      </w:pPr>
      <w:r>
        <w:rPr/>
        <w:t> </w:t>
      </w:r>
    </w:p>
    <w:p>
      <w:pPr>
        <w:pStyle w:val="TextBody"/>
        <w:bidi w:val="0"/>
        <w:spacing w:before="0" w:after="0"/>
        <w:ind w:left="180" w:right="0" w:hanging="18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17. Undertakings.</w:t>
      </w:r>
    </w:p>
    <w:p>
      <w:pPr>
        <w:pStyle w:val="TextBody"/>
        <w:bidi w:val="0"/>
        <w:spacing w:before="0" w:after="0"/>
        <w:ind w:left="0" w:right="0" w:hanging="0"/>
        <w:jc w:val="left"/>
        <w:rPr>
          <w:caps w:val="false"/>
          <w:smallCaps w:val="false"/>
        </w:rPr>
      </w:pPr>
      <w:r>
        <w:rPr>
          <w:caps w:val="false"/>
          <w:smallCaps w:val="false"/>
        </w:rPr>
        <w:t> </w:t>
      </w:r>
    </w:p>
    <w:tbl>
      <w:tblPr>
        <w:tblW w:w="4015" w:type="dxa"/>
        <w:jc w:val="left"/>
        <w:tblInd w:w="0" w:type="dxa"/>
        <w:tblLayout w:type="fixed"/>
        <w:tblCellMar>
          <w:top w:w="0" w:type="dxa"/>
          <w:left w:w="0" w:type="dxa"/>
          <w:bottom w:w="0" w:type="dxa"/>
          <w:right w:w="0" w:type="dxa"/>
        </w:tblCellMar>
      </w:tblPr>
      <w:tblGrid>
        <w:gridCol w:w="230"/>
        <w:gridCol w:w="3785"/>
      </w:tblGrid>
      <w:tr>
        <w:trPr/>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37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undersigned registrant hereby undertakes: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44"/>
        <w:gridCol w:w="9886"/>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88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file, during any period in which offers or sales are being made, a post-effective amendment to this registration statement:</w:t>
            </w:r>
          </w:p>
        </w:tc>
      </w:tr>
    </w:tbl>
    <w:p>
      <w:pPr>
        <w:pStyle w:val="TextBody"/>
        <w:bidi w:val="0"/>
        <w:spacing w:before="0" w:after="0"/>
        <w:ind w:left="0" w:right="0" w:firstLine="720"/>
        <w:jc w:val="both"/>
        <w:rPr>
          <w:caps w:val="false"/>
          <w:smallCaps w:val="false"/>
        </w:rPr>
      </w:pPr>
      <w:r>
        <w:rPr>
          <w:caps w:val="false"/>
          <w:smallCaps w:val="false"/>
        </w:rPr>
        <w:t> </w:t>
      </w:r>
    </w:p>
    <w:tbl>
      <w:tblPr>
        <w:tblW w:w="7195" w:type="dxa"/>
        <w:jc w:val="left"/>
        <w:tblInd w:w="0" w:type="dxa"/>
        <w:tblLayout w:type="fixed"/>
        <w:tblCellMar>
          <w:top w:w="0" w:type="dxa"/>
          <w:left w:w="0" w:type="dxa"/>
          <w:bottom w:w="0" w:type="dxa"/>
          <w:right w:w="0" w:type="dxa"/>
        </w:tblCellMar>
      </w:tblPr>
      <w:tblGrid>
        <w:gridCol w:w="75"/>
        <w:gridCol w:w="200"/>
        <w:gridCol w:w="692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69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include any prospectus required by Section 10(a)(3) of the Securities Act of 1933;</w:t>
            </w:r>
          </w:p>
        </w:tc>
      </w:tr>
    </w:tbl>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7"/>
        <w:gridCol w:w="9923"/>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992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20 percent change in the maximum aggregate offering price set forth in the “Calculation of Registration Fee” table in the effective registration statement;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94"/>
        <w:gridCol w:w="9836"/>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9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w:t>
            </w:r>
          </w:p>
        </w:tc>
        <w:tc>
          <w:tcPr>
            <w:tcW w:w="983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include any material information with respect to the plan of distribution not previously disclosed in the registration statement or any material change to such information in the registration statement.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that paragraphs (a)(1)(i), (a)(1)(ii), and (a)(1)(iii) of this section do not apply if the registration statement is on Form S-3 and the information required to be included in a post-effective amendment by those paragraphs is contained in reports filed with or furnished to the SEC by the registrant pursuant to Section 13 or Section 15(d) of the Exchange Act that are incorporated by reference in the registration statement, or, as to a registration statement on Form S-3, is contained in a form of prospectus filed pursuant to Rule 424(b) that is part of the registration statement.</w:t>
      </w:r>
    </w:p>
    <w:p>
      <w:pPr>
        <w:pStyle w:val="TextBody"/>
        <w:bidi w:val="0"/>
        <w:spacing w:before="0" w:after="0"/>
        <w:ind w:left="0" w:right="0" w:firstLine="49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7"/>
        <w:gridCol w:w="9923"/>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2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29"/>
        <w:gridCol w:w="9901"/>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2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0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remove from registration by means of a post-effective amendment any of the securities being registered that remain unsold at the termination of the offering.</w:t>
            </w:r>
          </w:p>
        </w:tc>
      </w:tr>
    </w:tbl>
    <w:p>
      <w:pPr>
        <w:pStyle w:val="TextBody"/>
        <w:bidi w:val="0"/>
        <w:spacing w:before="0" w:after="0"/>
        <w:ind w:left="0" w:right="0" w:hanging="0"/>
        <w:jc w:val="both"/>
        <w:rPr>
          <w:caps w:val="false"/>
          <w:smallCaps w:val="false"/>
        </w:rPr>
      </w:pPr>
      <w:r>
        <w:rPr>
          <w:caps w:val="false"/>
          <w:smallCaps w:val="false"/>
        </w:rPr>
        <w:t> </w:t>
      </w:r>
    </w:p>
    <w:tbl>
      <w:tblPr>
        <w:tblW w:w="7480" w:type="dxa"/>
        <w:jc w:val="left"/>
        <w:tblInd w:w="0" w:type="dxa"/>
        <w:tblLayout w:type="fixed"/>
        <w:tblCellMar>
          <w:top w:w="0" w:type="dxa"/>
          <w:left w:w="0" w:type="dxa"/>
          <w:bottom w:w="0" w:type="dxa"/>
          <w:right w:w="0" w:type="dxa"/>
        </w:tblCellMar>
      </w:tblPr>
      <w:tblGrid>
        <w:gridCol w:w="75"/>
        <w:gridCol w:w="245"/>
        <w:gridCol w:w="71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71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That, for the purposes of determining liability under the Securities Act to any purchaser: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registrant is subject to Rule 430C,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0"/>
        <w:gridCol w:w="994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99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Insofar as indemnification for liabilities arising under the Securities Act, as amended, may be permitted to directors, officers and controlling persons of the undersigned registrant according the foregoing provisions, or otherwise, the undersigned registrant has been advised that in the opinion of the SEC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as amended, and will be governed by the final adjudication of such issue.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1"/>
        <w:gridCol w:w="9994"/>
      </w:tblGrid>
      <w:tr>
        <w:trPr/>
        <w:tc>
          <w:tcPr>
            <w:tcW w:w="21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9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tc>
      </w:tr>
    </w:tbl>
    <w:p>
      <w:pPr>
        <w:pStyle w:val="TextBody"/>
        <w:bidi w:val="0"/>
        <w:spacing w:before="0" w:after="0"/>
        <w:ind w:left="0" w:right="0" w:hanging="0"/>
        <w:jc w:val="both"/>
        <w:rPr>
          <w:caps w:val="false"/>
          <w:smallCaps w:val="false"/>
        </w:rPr>
      </w:pPr>
      <w:r>
        <w:rPr>
          <w:caps w:val="false"/>
          <w:smallCaps w:val="false"/>
        </w:rPr>
        <w:t> </w:t>
      </w:r>
    </w:p>
    <w:tbl>
      <w:tblPr>
        <w:tblW w:w="395" w:type="dxa"/>
        <w:jc w:val="left"/>
        <w:tblInd w:w="0" w:type="dxa"/>
        <w:tblLayout w:type="fixed"/>
        <w:tblCellMar>
          <w:top w:w="0" w:type="dxa"/>
          <w:left w:w="0" w:type="dxa"/>
          <w:bottom w:w="0" w:type="dxa"/>
          <w:right w:w="0" w:type="dxa"/>
        </w:tblCellMar>
      </w:tblPr>
      <w:tblGrid>
        <w:gridCol w:w="395"/>
      </w:tblGrid>
      <w:tr>
        <w:trPr/>
        <w:tc>
          <w:tcPr>
            <w:tcW w:w="395" w:type="dxa"/>
            <w:tcBorders/>
            <w:vAlign w:val="center"/>
          </w:tcPr>
          <w:p>
            <w:pPr>
              <w:pStyle w:val="TableContents"/>
              <w:bidi w:val="0"/>
              <w:spacing w:before="0" w:after="283"/>
              <w:jc w:val="center"/>
              <w:rPr/>
            </w:pPr>
            <w:r>
              <w:rPr/>
              <w:t>II-3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the Registrant has duly caused this Registration Statement to be signed on its behalf by the undersigned, thereunto duly authorized, in the City of St. Louis, State of Missouri, on July 15, 2026.</w:t>
      </w:r>
    </w:p>
    <w:p>
      <w:pPr>
        <w:pStyle w:val="TextBody"/>
        <w:bidi w:val="0"/>
        <w:spacing w:before="0" w:after="0"/>
        <w:ind w:left="0" w:right="0" w:firstLine="490"/>
        <w:jc w:val="both"/>
        <w:rPr>
          <w:caps w:val="false"/>
          <w:smallCaps w:val="false"/>
        </w:rPr>
      </w:pPr>
      <w:r>
        <w:rPr>
          <w:caps w:val="false"/>
          <w:smallCaps w:val="false"/>
        </w:rPr>
        <w:t> </w:t>
      </w:r>
    </w:p>
    <w:tbl>
      <w:tblPr>
        <w:tblW w:w="3535" w:type="dxa"/>
        <w:jc w:val="left"/>
        <w:tblInd w:w="0" w:type="dxa"/>
        <w:tblLayout w:type="fixed"/>
        <w:tblCellMar>
          <w:top w:w="0" w:type="dxa"/>
          <w:left w:w="0" w:type="dxa"/>
          <w:bottom w:w="0" w:type="dxa"/>
          <w:right w:w="0" w:type="dxa"/>
        </w:tblCellMar>
      </w:tblPr>
      <w:tblGrid>
        <w:gridCol w:w="75"/>
        <w:gridCol w:w="320"/>
        <w:gridCol w:w="314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460"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STEREOTAXIS, INC.</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314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14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/s/ David L. Fischel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3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David L. Fischel</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3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Chairman and 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this Registration Statement has been signed by the following persons in the capacities indicated and on the dates indicated.</w:t>
      </w:r>
    </w:p>
    <w:p>
      <w:pPr>
        <w:pStyle w:val="TextBody"/>
        <w:bidi w:val="0"/>
        <w:spacing w:before="0" w:after="0"/>
        <w:ind w:left="0" w:right="0" w:firstLine="490"/>
        <w:jc w:val="both"/>
        <w:rPr>
          <w:caps w:val="false"/>
          <w:smallCaps w:val="false"/>
        </w:rPr>
      </w:pPr>
      <w:r>
        <w:rPr>
          <w:caps w:val="false"/>
          <w:smallCaps w:val="false"/>
        </w:rPr>
        <w:t> </w:t>
      </w:r>
    </w:p>
    <w:tbl>
      <w:tblPr>
        <w:tblW w:w="6585" w:type="dxa"/>
        <w:jc w:val="left"/>
        <w:tblInd w:w="0" w:type="dxa"/>
        <w:tblLayout w:type="fixed"/>
        <w:tblCellMar>
          <w:top w:w="0" w:type="dxa"/>
          <w:left w:w="0" w:type="dxa"/>
          <w:bottom w:w="28" w:type="dxa"/>
          <w:right w:w="0" w:type="dxa"/>
        </w:tblCellMar>
      </w:tblPr>
      <w:tblGrid>
        <w:gridCol w:w="2195"/>
        <w:gridCol w:w="60"/>
        <w:gridCol w:w="3125"/>
        <w:gridCol w:w="60"/>
        <w:gridCol w:w="1145"/>
      </w:tblGrid>
      <w:tr>
        <w:trPr/>
        <w:tc>
          <w:tcPr>
            <w:tcW w:w="219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12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14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w:t>
            </w:r>
          </w:p>
        </w:tc>
      </w:tr>
      <w:tr>
        <w:trPr/>
        <w:tc>
          <w:tcPr>
            <w:tcW w:w="219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12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4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219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12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4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2195"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/s/ David L. Fischel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12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Chairman and Chief Executive Officer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4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15, 2026</w:t>
            </w:r>
          </w:p>
        </w:tc>
      </w:tr>
      <w:tr>
        <w:trPr/>
        <w:tc>
          <w:tcPr>
            <w:tcW w:w="2195" w:type="dxa"/>
            <w:tcBorders/>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David L. Fischel</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12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executive officer)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4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219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12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4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2195"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/s/ Kimberly R. Peery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12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4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15, 2026</w:t>
            </w:r>
          </w:p>
        </w:tc>
      </w:tr>
      <w:tr>
        <w:trPr/>
        <w:tc>
          <w:tcPr>
            <w:tcW w:w="2195" w:type="dxa"/>
            <w:tcBorders/>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Kimberly R. Peery</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12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(principal financial officer and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4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219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12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accounting officer)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4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219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12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4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2195"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12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4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15, 2026</w:t>
            </w:r>
          </w:p>
        </w:tc>
      </w:tr>
      <w:tr>
        <w:trPr/>
        <w:tc>
          <w:tcPr>
            <w:tcW w:w="2195" w:type="dxa"/>
            <w:tcBorders/>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David W. Benfer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12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4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219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12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4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2195"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12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4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15, 2026</w:t>
            </w:r>
          </w:p>
        </w:tc>
      </w:tr>
      <w:tr>
        <w:trPr/>
        <w:tc>
          <w:tcPr>
            <w:tcW w:w="2195" w:type="dxa"/>
            <w:tcBorders/>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Myriam Curet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12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4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219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12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4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2195"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12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4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15, 2026</w:t>
            </w:r>
          </w:p>
        </w:tc>
      </w:tr>
      <w:tr>
        <w:trPr/>
        <w:tc>
          <w:tcPr>
            <w:tcW w:w="2195" w:type="dxa"/>
            <w:tcBorders/>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Nathan Fischel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12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4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219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12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4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2195"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12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4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15, 2026</w:t>
            </w:r>
          </w:p>
        </w:tc>
      </w:tr>
      <w:tr>
        <w:trPr/>
        <w:tc>
          <w:tcPr>
            <w:tcW w:w="2195" w:type="dxa"/>
            <w:tcBorders/>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Ross B. Levin</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12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4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219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12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4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2195"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12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4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15, 2026</w:t>
            </w:r>
          </w:p>
        </w:tc>
      </w:tr>
      <w:tr>
        <w:trPr/>
        <w:tc>
          <w:tcPr>
            <w:tcW w:w="2195" w:type="dxa"/>
            <w:tcBorders/>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Arun S. Menawat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12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4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219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12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4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2195"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12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4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15, 2026</w:t>
            </w:r>
          </w:p>
        </w:tc>
      </w:tr>
      <w:tr>
        <w:trPr/>
        <w:tc>
          <w:tcPr>
            <w:tcW w:w="2195" w:type="dxa"/>
            <w:tcBorders/>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Nachum “Homi” Shamir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12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4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219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12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4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tbl>
      <w:tblPr>
        <w:tblW w:w="2395" w:type="dxa"/>
        <w:jc w:val="left"/>
        <w:tblInd w:w="0" w:type="dxa"/>
        <w:tblLayout w:type="fixed"/>
        <w:tblCellMar>
          <w:top w:w="0" w:type="dxa"/>
          <w:left w:w="0" w:type="dxa"/>
          <w:bottom w:w="0" w:type="dxa"/>
          <w:right w:w="0" w:type="dxa"/>
        </w:tblCellMar>
      </w:tblPr>
      <w:tblGrid>
        <w:gridCol w:w="380"/>
        <w:gridCol w:w="1940"/>
        <w:gridCol w:w="75"/>
      </w:tblGrid>
      <w:tr>
        <w:trPr/>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94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/s/ Patricia S. Williams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80" w:type="dxa"/>
            <w:tcBorders/>
            <w:vAlign w:val="center"/>
          </w:tcPr>
          <w:p>
            <w:pPr>
              <w:pStyle w:val="TableContents"/>
              <w:bidi w:val="0"/>
              <w:spacing w:before="0" w:after="283"/>
              <w:jc w:val="left"/>
              <w:rPr>
                <w:caps w:val="false"/>
                <w:smallCaps w:val="false"/>
              </w:rPr>
            </w:pPr>
            <w:r>
              <w:rPr>
                <w:caps w:val="false"/>
                <w:smallCaps w:val="false"/>
              </w:rPr>
              <w:t> </w:t>
            </w:r>
          </w:p>
        </w:tc>
        <w:tc>
          <w:tcPr>
            <w:tcW w:w="194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Patricia S. Williams,</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80" w:type="dxa"/>
            <w:tcBorders/>
            <w:vAlign w:val="center"/>
          </w:tcPr>
          <w:p>
            <w:pPr>
              <w:pStyle w:val="TableContents"/>
              <w:bidi w:val="0"/>
              <w:spacing w:before="0" w:after="283"/>
              <w:jc w:val="left"/>
              <w:rPr>
                <w:caps w:val="false"/>
                <w:smallCaps w:val="false"/>
              </w:rPr>
            </w:pPr>
            <w:r>
              <w:rPr>
                <w:caps w:val="false"/>
                <w:smallCaps w:val="false"/>
              </w:rPr>
              <w:t> </w:t>
            </w:r>
          </w:p>
        </w:tc>
        <w:tc>
          <w:tcPr>
            <w:tcW w:w="194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Attorney-in-fact</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tbl>
      <w:tblPr>
        <w:tblW w:w="395" w:type="dxa"/>
        <w:jc w:val="left"/>
        <w:tblInd w:w="0" w:type="dxa"/>
        <w:tblLayout w:type="fixed"/>
        <w:tblCellMar>
          <w:top w:w="0" w:type="dxa"/>
          <w:left w:w="0" w:type="dxa"/>
          <w:bottom w:w="0" w:type="dxa"/>
          <w:right w:w="0" w:type="dxa"/>
        </w:tblCellMar>
      </w:tblPr>
      <w:tblGrid>
        <w:gridCol w:w="395"/>
      </w:tblGrid>
      <w:tr>
        <w:trPr/>
        <w:tc>
          <w:tcPr>
            <w:tcW w:w="395" w:type="dxa"/>
            <w:tcBorders/>
            <w:vAlign w:val="center"/>
          </w:tcPr>
          <w:p>
            <w:pPr>
              <w:pStyle w:val="TableContents"/>
              <w:bidi w:val="0"/>
              <w:spacing w:before="0" w:after="283"/>
              <w:jc w:val="center"/>
              <w:rPr/>
            </w:pPr>
            <w:r>
              <w:rPr/>
              <w:t>II-4</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bookmarkStart w:id="14" w:name="ex2-1.htm"/>
      <w:bookmarkStart w:id="15" w:name="ksex21"/>
      <w:bookmarkEnd w:id="14"/>
      <w:bookmarkEnd w:id="15"/>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2.1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CONFIDENTIAL INFORMATION CONTAINED IN THIS DOCUMENT, MARKED BY “[***]”, HAS BEEN OMITTED BECAUSE IT IS BOTH (I) NOT MATERIAL AND (II) IS THE TYPE THAT THE REGISTRANT TREATS AS PRIVATE OR CONFIDENTIAL.</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 SALE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by and among</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STEREOTAXIS,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The shareholders of ROBOCATH listed in </w:t>
      </w:r>
      <w:r>
        <w:rPr>
          <w:rFonts w:ascii="Times New Roman;Times;Serif" w:hAnsi="Times New Roman;Times;Serif"/>
          <w:b/>
          <w:i w:val="false"/>
          <w:caps w:val="false"/>
          <w:smallCaps w:val="false"/>
          <w:sz w:val="20"/>
          <w:u w:val="single"/>
        </w:rPr>
        <w:t>Exhibit 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ROBOCATH, as Company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PHILIPPE BENCTEUX, as Manager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DATED AS OF April 14</w:t>
      </w:r>
      <w:r>
        <w:rPr>
          <w:rFonts w:ascii="Times New Roman;Times;Serif" w:hAnsi="Times New Roman;Times;Serif"/>
          <w:b/>
          <w:i w:val="false"/>
          <w:caps w:val="false"/>
          <w:smallCaps w:val="false"/>
          <w:position w:val="7"/>
          <w:sz w:val="16"/>
          <w:sz w:val="20"/>
        </w:rPr>
        <w:t>th</w:t>
      </w:r>
      <w:r>
        <w:rPr>
          <w:rFonts w:ascii="Times New Roman;Times;Serif" w:hAnsi="Times New Roman;Times;Serif"/>
          <w:b/>
          <w:i w:val="false"/>
          <w:caps w:val="false"/>
          <w:smallCaps w:val="false"/>
          <w:sz w:val="20"/>
        </w:rPr>
        <w:t>, 2026</w:t>
      </w:r>
    </w:p>
    <w:p>
      <w:pPr>
        <w:pStyle w:val="TextBody"/>
        <w:bidi w:val="0"/>
        <w:spacing w:before="0" w:after="0"/>
        <w:ind w:left="0" w:right="0" w:hanging="0"/>
        <w:jc w:val="center"/>
        <w:rPr>
          <w:caps w:val="false"/>
          <w:smallCaps w:val="false"/>
        </w:rPr>
      </w:pPr>
      <w:r>
        <w:rPr>
          <w:caps w:val="false"/>
          <w:smallCaps w:val="false"/>
        </w:rPr>
        <w:t> </w:t>
      </w:r>
    </w:p>
    <w:tbl>
      <w:tblPr>
        <w:tblW w:w="260" w:type="dxa"/>
        <w:jc w:val="left"/>
        <w:tblInd w:w="0" w:type="dxa"/>
        <w:tblLayout w:type="fixed"/>
        <w:tblCellMar>
          <w:top w:w="0" w:type="dxa"/>
          <w:left w:w="0" w:type="dxa"/>
          <w:bottom w:w="0" w:type="dxa"/>
          <w:right w:w="0" w:type="dxa"/>
        </w:tblCellMar>
      </w:tblPr>
      <w:tblGrid>
        <w:gridCol w:w="260"/>
      </w:tblGrid>
      <w:tr>
        <w:trPr/>
        <w:tc>
          <w:tcPr>
            <w:tcW w:w="260" w:type="dxa"/>
            <w:tcBorders/>
            <w:vAlign w:val="center"/>
          </w:tcPr>
          <w:p>
            <w:pPr>
              <w:pStyle w:val="TableContents"/>
              <w:bidi w:val="0"/>
              <w:spacing w:before="0" w:after="283"/>
              <w:jc w:val="center"/>
              <w:rPr/>
            </w:pPr>
            <w:r>
              <w:rPr/>
              <w:t>-i-</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jc w:val="center"/>
        <w:rPr>
          <w:caps w:val="false"/>
          <w:smallCaps w:val="false"/>
        </w:rPr>
      </w:pPr>
      <w:r>
        <w:rPr>
          <w:caps w:val="false"/>
          <w:smallCaps w:val="false"/>
        </w:rPr>
        <w:t> </w:t>
      </w:r>
    </w:p>
    <w:tbl>
      <w:tblPr>
        <w:tblW w:w="7104" w:type="dxa"/>
        <w:jc w:val="left"/>
        <w:tblInd w:w="0" w:type="dxa"/>
        <w:tblLayout w:type="fixed"/>
        <w:tblCellMar>
          <w:top w:w="0" w:type="dxa"/>
          <w:left w:w="0" w:type="dxa"/>
          <w:bottom w:w="0" w:type="dxa"/>
          <w:right w:w="0" w:type="dxa"/>
        </w:tblCellMar>
      </w:tblPr>
      <w:tblGrid>
        <w:gridCol w:w="1527"/>
        <w:gridCol w:w="5122"/>
        <w:gridCol w:w="455"/>
      </w:tblGrid>
      <w:tr>
        <w:trPr/>
        <w:tc>
          <w:tcPr>
            <w:tcW w:w="1527" w:type="dxa"/>
            <w:tcBorders/>
            <w:vAlign w:val="center"/>
          </w:tcPr>
          <w:p>
            <w:pPr>
              <w:pStyle w:val="TableContents"/>
              <w:bidi w:val="0"/>
              <w:spacing w:before="0" w:after="283"/>
              <w:jc w:val="left"/>
              <w:rPr>
                <w:caps w:val="false"/>
                <w:smallCaps w:val="false"/>
              </w:rPr>
            </w:pPr>
            <w:r>
              <w:rPr>
                <w:caps w:val="false"/>
                <w:smallCaps w:val="false"/>
              </w:rPr>
              <w:t> </w:t>
            </w:r>
          </w:p>
        </w:tc>
        <w:tc>
          <w:tcPr>
            <w:tcW w:w="5122" w:type="dxa"/>
            <w:tcBorders/>
            <w:vAlign w:val="center"/>
          </w:tcPr>
          <w:p>
            <w:pPr>
              <w:pStyle w:val="TableContents"/>
              <w:bidi w:val="0"/>
              <w:spacing w:before="0" w:after="283"/>
              <w:jc w:val="left"/>
              <w:rPr>
                <w:caps w:val="false"/>
                <w:smallCaps w:val="false"/>
              </w:rPr>
            </w:pPr>
            <w:r>
              <w:rPr>
                <w:caps w:val="false"/>
                <w:smallCaps w:val="false"/>
              </w:rPr>
              <w:t> </w:t>
            </w:r>
          </w:p>
        </w:tc>
        <w:tc>
          <w:tcPr>
            <w:tcW w:w="45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Page</w:t>
            </w:r>
          </w:p>
        </w:tc>
      </w:tr>
      <w:tr>
        <w:trPr/>
        <w:tc>
          <w:tcPr>
            <w:tcW w:w="1527" w:type="dxa"/>
            <w:tcBorders/>
            <w:vAlign w:val="center"/>
          </w:tcPr>
          <w:p>
            <w:pPr>
              <w:pStyle w:val="TableContents"/>
              <w:bidi w:val="0"/>
              <w:spacing w:before="0" w:after="283"/>
              <w:jc w:val="left"/>
              <w:rPr>
                <w:caps w:val="false"/>
                <w:smallCaps w:val="false"/>
              </w:rPr>
            </w:pPr>
            <w:r>
              <w:rPr>
                <w:caps w:val="false"/>
                <w:smallCaps w:val="false"/>
              </w:rPr>
              <w:t> </w:t>
            </w:r>
          </w:p>
        </w:tc>
        <w:tc>
          <w:tcPr>
            <w:tcW w:w="5122" w:type="dxa"/>
            <w:tcBorders/>
            <w:vAlign w:val="center"/>
          </w:tcPr>
          <w:p>
            <w:pPr>
              <w:pStyle w:val="TableContents"/>
              <w:bidi w:val="0"/>
              <w:spacing w:before="0" w:after="283"/>
              <w:jc w:val="left"/>
              <w:rPr>
                <w:caps w:val="false"/>
                <w:smallCaps w:val="false"/>
              </w:rPr>
            </w:pPr>
            <w:r>
              <w:rPr>
                <w:caps w:val="false"/>
                <w:smallCaps w:val="false"/>
              </w:rPr>
              <w:t> </w:t>
            </w:r>
          </w:p>
        </w:tc>
        <w:tc>
          <w:tcPr>
            <w:tcW w:w="45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6649" w:type="dxa"/>
            <w:gridSpan w:val="2"/>
            <w:tcBorders/>
            <w:shd w:fill="CCEEFF" w:val="clear"/>
            <w:vAlign w:val="center"/>
          </w:tcPr>
          <w:p>
            <w:pPr>
              <w:pStyle w:val="TableContents"/>
              <w:bidi w:val="0"/>
              <w:spacing w:before="0" w:after="283"/>
              <w:jc w:val="left"/>
              <w:rPr>
                <w:rFonts w:ascii="Times New Roman;Times;Serif" w:hAnsi="Times New Roman;Times;Serif"/>
                <w:b/>
                <w:i w:val="false"/>
                <w:caps/>
                <w:sz w:val="20"/>
              </w:rPr>
            </w:pPr>
            <w:r>
              <w:rPr>
                <w:rFonts w:ascii="Times New Roman;Times;Serif" w:hAnsi="Times New Roman;Times;Serif"/>
                <w:b/>
                <w:i w:val="false"/>
                <w:caps/>
                <w:sz w:val="20"/>
              </w:rPr>
              <w:t>Article I PURCHASE AND SALE</w:t>
            </w:r>
          </w:p>
        </w:tc>
        <w:tc>
          <w:tcPr>
            <w:tcW w:w="45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w:t>
            </w:r>
          </w:p>
        </w:tc>
      </w:tr>
      <w:tr>
        <w:trPr/>
        <w:tc>
          <w:tcPr>
            <w:tcW w:w="152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1.1.</w:t>
            </w:r>
          </w:p>
        </w:tc>
        <w:tc>
          <w:tcPr>
            <w:tcW w:w="512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Purchase and Sale of Sold Securities</w:t>
            </w:r>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152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1.2.</w:t>
            </w:r>
          </w:p>
        </w:tc>
        <w:tc>
          <w:tcPr>
            <w:tcW w:w="512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Consideration.</w:t>
            </w:r>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152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1.3.</w:t>
            </w:r>
          </w:p>
        </w:tc>
        <w:tc>
          <w:tcPr>
            <w:tcW w:w="512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Upfront Stock Consideration.</w:t>
            </w:r>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r>
      <w:tr>
        <w:trPr/>
        <w:tc>
          <w:tcPr>
            <w:tcW w:w="152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1.4.</w:t>
            </w:r>
          </w:p>
        </w:tc>
        <w:tc>
          <w:tcPr>
            <w:tcW w:w="512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Upfront Stock Consideration Adjustment.</w:t>
            </w:r>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r>
      <w:tr>
        <w:trPr/>
        <w:tc>
          <w:tcPr>
            <w:tcW w:w="152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1.5.</w:t>
            </w:r>
          </w:p>
        </w:tc>
        <w:tc>
          <w:tcPr>
            <w:tcW w:w="512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Earn-out Considerations.</w:t>
            </w:r>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r>
      <w:tr>
        <w:trPr/>
        <w:tc>
          <w:tcPr>
            <w:tcW w:w="152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1.6.</w:t>
            </w:r>
          </w:p>
        </w:tc>
        <w:tc>
          <w:tcPr>
            <w:tcW w:w="512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 Cap.</w:t>
            </w:r>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r>
      <w:tr>
        <w:trPr/>
        <w:tc>
          <w:tcPr>
            <w:tcW w:w="152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1.7.</w:t>
            </w:r>
          </w:p>
        </w:tc>
        <w:tc>
          <w:tcPr>
            <w:tcW w:w="512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Withholding Taxes.</w:t>
            </w:r>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r>
      <w:tr>
        <w:trPr/>
        <w:tc>
          <w:tcPr>
            <w:tcW w:w="152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2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r>
      <w:tr>
        <w:trPr/>
        <w:tc>
          <w:tcPr>
            <w:tcW w:w="6649" w:type="dxa"/>
            <w:gridSpan w:val="2"/>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II CLOSING</w:t>
            </w:r>
          </w:p>
        </w:tc>
        <w:tc>
          <w:tcPr>
            <w:tcW w:w="45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w:t>
            </w:r>
          </w:p>
        </w:tc>
      </w:tr>
      <w:tr>
        <w:trPr/>
        <w:tc>
          <w:tcPr>
            <w:tcW w:w="152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2.1.</w:t>
            </w:r>
          </w:p>
        </w:tc>
        <w:tc>
          <w:tcPr>
            <w:tcW w:w="512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Closing.</w:t>
            </w:r>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r>
      <w:tr>
        <w:trPr/>
        <w:tc>
          <w:tcPr>
            <w:tcW w:w="152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2.2.</w:t>
            </w:r>
          </w:p>
        </w:tc>
        <w:tc>
          <w:tcPr>
            <w:tcW w:w="512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Deliveries at Closing.</w:t>
            </w:r>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r>
      <w:tr>
        <w:trPr/>
        <w:tc>
          <w:tcPr>
            <w:tcW w:w="152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2.3.</w:t>
            </w:r>
          </w:p>
        </w:tc>
        <w:tc>
          <w:tcPr>
            <w:tcW w:w="512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Debt Restructuring. Equity Pre-Closing Transactions.</w:t>
            </w:r>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r>
      <w:tr>
        <w:trPr/>
        <w:tc>
          <w:tcPr>
            <w:tcW w:w="152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2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6649" w:type="dxa"/>
            <w:gridSpan w:val="2"/>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III REPRESENTATIONS AND WARRANTIES OF COMPANY</w:t>
            </w:r>
          </w:p>
        </w:tc>
        <w:tc>
          <w:tcPr>
            <w:tcW w:w="45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w:t>
            </w:r>
          </w:p>
        </w:tc>
      </w:tr>
      <w:tr>
        <w:trPr/>
        <w:tc>
          <w:tcPr>
            <w:tcW w:w="152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3.1.</w:t>
            </w:r>
          </w:p>
        </w:tc>
        <w:tc>
          <w:tcPr>
            <w:tcW w:w="512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Organization, Corporate Power and Qualification</w:t>
            </w:r>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r>
      <w:tr>
        <w:trPr/>
        <w:tc>
          <w:tcPr>
            <w:tcW w:w="152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3.2.</w:t>
            </w:r>
          </w:p>
        </w:tc>
        <w:tc>
          <w:tcPr>
            <w:tcW w:w="512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Capitalization</w:t>
            </w:r>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r>
      <w:tr>
        <w:trPr/>
        <w:tc>
          <w:tcPr>
            <w:tcW w:w="152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3.3.</w:t>
            </w:r>
          </w:p>
        </w:tc>
        <w:tc>
          <w:tcPr>
            <w:tcW w:w="512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Subsidiaries and Affiliates</w:t>
            </w:r>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r>
      <w:tr>
        <w:trPr/>
        <w:tc>
          <w:tcPr>
            <w:tcW w:w="152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3.4.</w:t>
            </w:r>
          </w:p>
        </w:tc>
        <w:tc>
          <w:tcPr>
            <w:tcW w:w="512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Authorization</w:t>
            </w:r>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r>
      <w:tr>
        <w:trPr/>
        <w:tc>
          <w:tcPr>
            <w:tcW w:w="152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3.5.</w:t>
            </w:r>
          </w:p>
        </w:tc>
        <w:tc>
          <w:tcPr>
            <w:tcW w:w="512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Governmental Consents and Filings</w:t>
            </w:r>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r>
      <w:tr>
        <w:trPr/>
        <w:tc>
          <w:tcPr>
            <w:tcW w:w="152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3.6.</w:t>
            </w:r>
          </w:p>
        </w:tc>
        <w:tc>
          <w:tcPr>
            <w:tcW w:w="512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Litigation</w:t>
            </w:r>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r>
      <w:tr>
        <w:trPr/>
        <w:tc>
          <w:tcPr>
            <w:tcW w:w="152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3.7.</w:t>
            </w:r>
          </w:p>
        </w:tc>
        <w:tc>
          <w:tcPr>
            <w:tcW w:w="512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Intellectual Property</w:t>
            </w:r>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r>
      <w:tr>
        <w:trPr/>
        <w:tc>
          <w:tcPr>
            <w:tcW w:w="152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3.8.</w:t>
            </w:r>
          </w:p>
        </w:tc>
        <w:tc>
          <w:tcPr>
            <w:tcW w:w="512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Compliance with Other Instruments</w:t>
            </w:r>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w:t>
            </w:r>
          </w:p>
        </w:tc>
      </w:tr>
      <w:tr>
        <w:trPr/>
        <w:tc>
          <w:tcPr>
            <w:tcW w:w="152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3.9.</w:t>
            </w:r>
          </w:p>
        </w:tc>
        <w:tc>
          <w:tcPr>
            <w:tcW w:w="512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Agreements; Actions</w:t>
            </w:r>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r>
      <w:tr>
        <w:trPr/>
        <w:tc>
          <w:tcPr>
            <w:tcW w:w="152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3.10.</w:t>
            </w:r>
          </w:p>
        </w:tc>
        <w:tc>
          <w:tcPr>
            <w:tcW w:w="512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Transactions</w:t>
            </w:r>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r>
      <w:tr>
        <w:trPr/>
        <w:tc>
          <w:tcPr>
            <w:tcW w:w="152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3.11.</w:t>
            </w:r>
          </w:p>
        </w:tc>
        <w:tc>
          <w:tcPr>
            <w:tcW w:w="512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Registration Rights</w:t>
            </w:r>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r>
      <w:tr>
        <w:trPr/>
        <w:tc>
          <w:tcPr>
            <w:tcW w:w="152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3.12.</w:t>
            </w:r>
          </w:p>
        </w:tc>
        <w:tc>
          <w:tcPr>
            <w:tcW w:w="512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Absence of Liens</w:t>
            </w:r>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r>
      <w:tr>
        <w:trPr/>
        <w:tc>
          <w:tcPr>
            <w:tcW w:w="152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3.13.</w:t>
            </w:r>
          </w:p>
        </w:tc>
        <w:tc>
          <w:tcPr>
            <w:tcW w:w="512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Statements; Indebtedness</w:t>
            </w:r>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r>
      <w:tr>
        <w:trPr/>
        <w:tc>
          <w:tcPr>
            <w:tcW w:w="152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3.14.</w:t>
            </w:r>
          </w:p>
        </w:tc>
        <w:tc>
          <w:tcPr>
            <w:tcW w:w="512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w:t>
            </w:r>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r>
      <w:tr>
        <w:trPr/>
        <w:tc>
          <w:tcPr>
            <w:tcW w:w="152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3.15.</w:t>
            </w:r>
          </w:p>
        </w:tc>
        <w:tc>
          <w:tcPr>
            <w:tcW w:w="512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Employee Benefit Plans and Employee Matters</w:t>
            </w:r>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w:t>
            </w:r>
          </w:p>
        </w:tc>
      </w:tr>
      <w:tr>
        <w:trPr/>
        <w:tc>
          <w:tcPr>
            <w:tcW w:w="152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3.16.</w:t>
            </w:r>
          </w:p>
        </w:tc>
        <w:tc>
          <w:tcPr>
            <w:tcW w:w="512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 Returns and Payments.</w:t>
            </w:r>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r>
      <w:tr>
        <w:trPr/>
        <w:tc>
          <w:tcPr>
            <w:tcW w:w="152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3.17.</w:t>
            </w:r>
          </w:p>
        </w:tc>
        <w:tc>
          <w:tcPr>
            <w:tcW w:w="512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Insurance</w:t>
            </w:r>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r>
      <w:tr>
        <w:trPr/>
        <w:tc>
          <w:tcPr>
            <w:tcW w:w="152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3.18.</w:t>
            </w:r>
          </w:p>
        </w:tc>
        <w:tc>
          <w:tcPr>
            <w:tcW w:w="512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Non-Compete</w:t>
            </w:r>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r>
      <w:tr>
        <w:trPr/>
        <w:tc>
          <w:tcPr>
            <w:tcW w:w="152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3.19.</w:t>
            </w:r>
          </w:p>
        </w:tc>
        <w:tc>
          <w:tcPr>
            <w:tcW w:w="512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Permits</w:t>
            </w:r>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r>
      <w:tr>
        <w:trPr/>
        <w:tc>
          <w:tcPr>
            <w:tcW w:w="152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3.20.</w:t>
            </w:r>
          </w:p>
        </w:tc>
        <w:tc>
          <w:tcPr>
            <w:tcW w:w="512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Corporate Documents</w:t>
            </w:r>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r>
      <w:tr>
        <w:trPr/>
        <w:tc>
          <w:tcPr>
            <w:tcW w:w="152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3.21.</w:t>
            </w:r>
          </w:p>
        </w:tc>
        <w:tc>
          <w:tcPr>
            <w:tcW w:w="512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Environmental and Safety Laws</w:t>
            </w:r>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r>
      <w:tr>
        <w:trPr/>
        <w:tc>
          <w:tcPr>
            <w:tcW w:w="152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3.22.</w:t>
            </w:r>
          </w:p>
        </w:tc>
        <w:tc>
          <w:tcPr>
            <w:tcW w:w="512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Obligations of Management</w:t>
            </w:r>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w:t>
            </w:r>
          </w:p>
        </w:tc>
      </w:tr>
      <w:tr>
        <w:trPr/>
        <w:tc>
          <w:tcPr>
            <w:tcW w:w="152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3.23.</w:t>
            </w:r>
          </w:p>
        </w:tc>
        <w:tc>
          <w:tcPr>
            <w:tcW w:w="512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Brokers</w:t>
            </w:r>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w:t>
            </w:r>
          </w:p>
        </w:tc>
      </w:tr>
      <w:tr>
        <w:trPr/>
        <w:tc>
          <w:tcPr>
            <w:tcW w:w="152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3.24.</w:t>
            </w:r>
          </w:p>
        </w:tc>
        <w:tc>
          <w:tcPr>
            <w:tcW w:w="512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Compliance with Laws; Regulatory Matters</w:t>
            </w:r>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w:t>
            </w:r>
          </w:p>
        </w:tc>
      </w:tr>
      <w:tr>
        <w:trPr/>
        <w:tc>
          <w:tcPr>
            <w:tcW w:w="152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2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6649" w:type="dxa"/>
            <w:gridSpan w:val="2"/>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IV REPRESENTATIONS AND WARRANTIES OF THE SELLERS</w:t>
            </w:r>
          </w:p>
        </w:tc>
        <w:tc>
          <w:tcPr>
            <w:tcW w:w="45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25</w:t>
            </w:r>
          </w:p>
        </w:tc>
      </w:tr>
      <w:tr>
        <w:trPr/>
        <w:tc>
          <w:tcPr>
            <w:tcW w:w="152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4.1.</w:t>
            </w:r>
          </w:p>
        </w:tc>
        <w:tc>
          <w:tcPr>
            <w:tcW w:w="512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Ownership</w:t>
            </w:r>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w:t>
            </w:r>
          </w:p>
        </w:tc>
      </w:tr>
      <w:tr>
        <w:trPr/>
        <w:tc>
          <w:tcPr>
            <w:tcW w:w="152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4.2.</w:t>
            </w:r>
          </w:p>
        </w:tc>
        <w:tc>
          <w:tcPr>
            <w:tcW w:w="512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Capacity</w:t>
            </w:r>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w:t>
            </w:r>
          </w:p>
        </w:tc>
      </w:tr>
      <w:tr>
        <w:trPr/>
        <w:tc>
          <w:tcPr>
            <w:tcW w:w="152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4.3.</w:t>
            </w:r>
          </w:p>
        </w:tc>
        <w:tc>
          <w:tcPr>
            <w:tcW w:w="512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Conflicts; Consents.</w:t>
            </w:r>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w:t>
            </w:r>
          </w:p>
        </w:tc>
      </w:tr>
      <w:tr>
        <w:trPr/>
        <w:tc>
          <w:tcPr>
            <w:tcW w:w="152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4.4.</w:t>
            </w:r>
          </w:p>
        </w:tc>
        <w:tc>
          <w:tcPr>
            <w:tcW w:w="512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Proceedings</w:t>
            </w:r>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w:t>
            </w:r>
          </w:p>
        </w:tc>
      </w:tr>
      <w:tr>
        <w:trPr/>
        <w:tc>
          <w:tcPr>
            <w:tcW w:w="152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4.5.</w:t>
            </w:r>
          </w:p>
        </w:tc>
        <w:tc>
          <w:tcPr>
            <w:tcW w:w="512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Continuing Rights</w:t>
            </w:r>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w:t>
            </w:r>
          </w:p>
        </w:tc>
      </w:tr>
      <w:tr>
        <w:trPr/>
        <w:tc>
          <w:tcPr>
            <w:tcW w:w="152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4.6.</w:t>
            </w:r>
          </w:p>
        </w:tc>
        <w:tc>
          <w:tcPr>
            <w:tcW w:w="512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Investment Representations.</w:t>
            </w:r>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w:t>
            </w:r>
          </w:p>
        </w:tc>
      </w:tr>
    </w:tbl>
    <w:p>
      <w:pPr>
        <w:pStyle w:val="TextBody"/>
        <w:bidi w:val="0"/>
        <w:spacing w:before="0" w:after="0"/>
        <w:ind w:left="0" w:right="0" w:hanging="0"/>
        <w:jc w:val="both"/>
        <w:rPr>
          <w:caps w:val="false"/>
          <w:smallCaps w:val="false"/>
        </w:rPr>
      </w:pPr>
      <w:r>
        <w:rPr>
          <w:caps w:val="false"/>
          <w:smallCaps w:val="false"/>
        </w:rPr>
        <w:t>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283"/>
              <w:jc w:val="center"/>
              <w:rPr/>
            </w:pPr>
            <w:r>
              <w:rPr/>
              <w:t>-ii-</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(continued)</w:t>
      </w:r>
    </w:p>
    <w:p>
      <w:pPr>
        <w:pStyle w:val="TextBody"/>
        <w:bidi w:val="0"/>
        <w:spacing w:before="0" w:after="0"/>
        <w:jc w:val="center"/>
        <w:rPr>
          <w:caps w:val="false"/>
          <w:smallCaps w:val="false"/>
        </w:rPr>
      </w:pPr>
      <w:r>
        <w:rPr>
          <w:caps w:val="false"/>
          <w:smallCaps w:val="false"/>
        </w:rPr>
        <w:t> </w:t>
      </w:r>
    </w:p>
    <w:tbl>
      <w:tblPr>
        <w:tblW w:w="6864" w:type="dxa"/>
        <w:jc w:val="left"/>
        <w:tblInd w:w="0" w:type="dxa"/>
        <w:tblLayout w:type="fixed"/>
        <w:tblCellMar>
          <w:top w:w="0" w:type="dxa"/>
          <w:left w:w="0" w:type="dxa"/>
          <w:bottom w:w="0" w:type="dxa"/>
          <w:right w:w="0" w:type="dxa"/>
        </w:tblCellMar>
      </w:tblPr>
      <w:tblGrid>
        <w:gridCol w:w="1694"/>
        <w:gridCol w:w="4715"/>
        <w:gridCol w:w="455"/>
      </w:tblGrid>
      <w:tr>
        <w:trPr/>
        <w:tc>
          <w:tcPr>
            <w:tcW w:w="6409" w:type="dxa"/>
            <w:gridSpan w:val="2"/>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Page</w:t>
            </w:r>
          </w:p>
        </w:tc>
      </w:tr>
      <w:tr>
        <w:trPr/>
        <w:tc>
          <w:tcPr>
            <w:tcW w:w="6409" w:type="dxa"/>
            <w:gridSpan w:val="2"/>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6409" w:type="dxa"/>
            <w:gridSpan w:val="2"/>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V REPRESENTATIONS AND WARRANTIES OF PURCHASER</w:t>
            </w:r>
          </w:p>
        </w:tc>
        <w:tc>
          <w:tcPr>
            <w:tcW w:w="45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28</w:t>
            </w:r>
          </w:p>
        </w:tc>
      </w:tr>
      <w:tr>
        <w:trPr/>
        <w:tc>
          <w:tcPr>
            <w:tcW w:w="169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5.1.</w:t>
            </w:r>
          </w:p>
        </w:tc>
        <w:tc>
          <w:tcPr>
            <w:tcW w:w="47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Organization, Good Standing, Authority.</w:t>
            </w:r>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w:t>
            </w:r>
          </w:p>
        </w:tc>
      </w:tr>
      <w:tr>
        <w:trPr/>
        <w:tc>
          <w:tcPr>
            <w:tcW w:w="169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5.2.</w:t>
            </w:r>
          </w:p>
        </w:tc>
        <w:tc>
          <w:tcPr>
            <w:tcW w:w="47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Conflicts; Consents.</w:t>
            </w:r>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w:t>
            </w:r>
          </w:p>
        </w:tc>
      </w:tr>
      <w:tr>
        <w:trPr/>
        <w:tc>
          <w:tcPr>
            <w:tcW w:w="169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5.3.</w:t>
            </w:r>
          </w:p>
        </w:tc>
        <w:tc>
          <w:tcPr>
            <w:tcW w:w="47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Investment Purpose.</w:t>
            </w:r>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w:t>
            </w:r>
          </w:p>
        </w:tc>
      </w:tr>
      <w:tr>
        <w:trPr/>
        <w:tc>
          <w:tcPr>
            <w:tcW w:w="169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5.4.</w:t>
            </w:r>
          </w:p>
        </w:tc>
        <w:tc>
          <w:tcPr>
            <w:tcW w:w="47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 Reports</w:t>
            </w:r>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w:t>
            </w:r>
          </w:p>
        </w:tc>
      </w:tr>
      <w:tr>
        <w:trPr/>
        <w:tc>
          <w:tcPr>
            <w:tcW w:w="169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5.5.</w:t>
            </w:r>
          </w:p>
        </w:tc>
        <w:tc>
          <w:tcPr>
            <w:tcW w:w="47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Purchaser Common Stock</w:t>
            </w:r>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w:t>
            </w:r>
          </w:p>
        </w:tc>
      </w:tr>
      <w:tr>
        <w:trPr/>
        <w:tc>
          <w:tcPr>
            <w:tcW w:w="169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5.6.</w:t>
            </w:r>
          </w:p>
        </w:tc>
        <w:tc>
          <w:tcPr>
            <w:tcW w:w="47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Statements</w:t>
            </w:r>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w:t>
            </w:r>
          </w:p>
        </w:tc>
      </w:tr>
      <w:tr>
        <w:trPr/>
        <w:tc>
          <w:tcPr>
            <w:tcW w:w="169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5.7.</w:t>
            </w:r>
          </w:p>
        </w:tc>
        <w:tc>
          <w:tcPr>
            <w:tcW w:w="47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Capitalization of Purchaser</w:t>
            </w:r>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w:t>
            </w:r>
          </w:p>
        </w:tc>
      </w:tr>
      <w:tr>
        <w:trPr/>
        <w:tc>
          <w:tcPr>
            <w:tcW w:w="169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5.8.</w:t>
            </w:r>
          </w:p>
        </w:tc>
        <w:tc>
          <w:tcPr>
            <w:tcW w:w="47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Litigation.</w:t>
            </w:r>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w:t>
            </w:r>
          </w:p>
        </w:tc>
      </w:tr>
      <w:tr>
        <w:trPr/>
        <w:tc>
          <w:tcPr>
            <w:tcW w:w="169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5.9.</w:t>
            </w:r>
          </w:p>
        </w:tc>
        <w:tc>
          <w:tcPr>
            <w:tcW w:w="47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Disclosure.</w:t>
            </w:r>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w:t>
            </w:r>
          </w:p>
        </w:tc>
      </w:tr>
      <w:tr>
        <w:trPr/>
        <w:tc>
          <w:tcPr>
            <w:tcW w:w="169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5.10.</w:t>
            </w:r>
          </w:p>
        </w:tc>
        <w:tc>
          <w:tcPr>
            <w:tcW w:w="47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Compliance with Laws; Regulatory Matters.</w:t>
            </w:r>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w:t>
            </w:r>
          </w:p>
        </w:tc>
      </w:tr>
      <w:tr>
        <w:trPr/>
        <w:tc>
          <w:tcPr>
            <w:tcW w:w="169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5.11.</w:t>
            </w:r>
          </w:p>
        </w:tc>
        <w:tc>
          <w:tcPr>
            <w:tcW w:w="47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Absence of ongoing side discussion.</w:t>
            </w:r>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r>
      <w:tr>
        <w:trPr/>
        <w:tc>
          <w:tcPr>
            <w:tcW w:w="169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71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r>
      <w:tr>
        <w:trPr/>
        <w:tc>
          <w:tcPr>
            <w:tcW w:w="6409" w:type="dxa"/>
            <w:gridSpan w:val="2"/>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VI COVENANTS</w:t>
            </w:r>
          </w:p>
        </w:tc>
        <w:tc>
          <w:tcPr>
            <w:tcW w:w="45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31</w:t>
            </w:r>
          </w:p>
        </w:tc>
      </w:tr>
      <w:tr>
        <w:trPr/>
        <w:tc>
          <w:tcPr>
            <w:tcW w:w="169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6.1.</w:t>
            </w:r>
          </w:p>
        </w:tc>
        <w:tc>
          <w:tcPr>
            <w:tcW w:w="47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Conduct of Business Prior to Closing</w:t>
            </w:r>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r>
      <w:tr>
        <w:trPr/>
        <w:tc>
          <w:tcPr>
            <w:tcW w:w="169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6.2.</w:t>
            </w:r>
          </w:p>
        </w:tc>
        <w:tc>
          <w:tcPr>
            <w:tcW w:w="47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Access to Information</w:t>
            </w:r>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w:t>
            </w:r>
          </w:p>
        </w:tc>
      </w:tr>
      <w:tr>
        <w:trPr/>
        <w:tc>
          <w:tcPr>
            <w:tcW w:w="169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6.3.</w:t>
            </w:r>
          </w:p>
        </w:tc>
        <w:tc>
          <w:tcPr>
            <w:tcW w:w="47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Public Announcements</w:t>
            </w:r>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w:t>
            </w:r>
          </w:p>
        </w:tc>
      </w:tr>
      <w:tr>
        <w:trPr/>
        <w:tc>
          <w:tcPr>
            <w:tcW w:w="169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6.4.</w:t>
            </w:r>
          </w:p>
        </w:tc>
        <w:tc>
          <w:tcPr>
            <w:tcW w:w="47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Conveyance Taxes</w:t>
            </w:r>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w:t>
            </w:r>
          </w:p>
        </w:tc>
      </w:tr>
      <w:tr>
        <w:trPr/>
        <w:tc>
          <w:tcPr>
            <w:tcW w:w="169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6.5.</w:t>
            </w:r>
          </w:p>
        </w:tc>
        <w:tc>
          <w:tcPr>
            <w:tcW w:w="47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 Matters</w:t>
            </w:r>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w:t>
            </w:r>
          </w:p>
        </w:tc>
      </w:tr>
      <w:tr>
        <w:trPr/>
        <w:tc>
          <w:tcPr>
            <w:tcW w:w="169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6.6.</w:t>
            </w:r>
          </w:p>
        </w:tc>
        <w:tc>
          <w:tcPr>
            <w:tcW w:w="47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Filings</w:t>
            </w:r>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w:t>
            </w:r>
          </w:p>
        </w:tc>
      </w:tr>
      <w:tr>
        <w:trPr/>
        <w:tc>
          <w:tcPr>
            <w:tcW w:w="169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6.7.</w:t>
            </w:r>
          </w:p>
        </w:tc>
        <w:tc>
          <w:tcPr>
            <w:tcW w:w="47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Confidentiality</w:t>
            </w:r>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w:t>
            </w:r>
          </w:p>
        </w:tc>
      </w:tr>
      <w:tr>
        <w:trPr/>
        <w:tc>
          <w:tcPr>
            <w:tcW w:w="169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6.8.</w:t>
            </w:r>
          </w:p>
        </w:tc>
        <w:tc>
          <w:tcPr>
            <w:tcW w:w="47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Non-Compete - Non-Solicit</w:t>
            </w:r>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w:t>
            </w:r>
          </w:p>
        </w:tc>
      </w:tr>
      <w:tr>
        <w:trPr/>
        <w:tc>
          <w:tcPr>
            <w:tcW w:w="169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6.9.</w:t>
            </w:r>
          </w:p>
        </w:tc>
        <w:tc>
          <w:tcPr>
            <w:tcW w:w="47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Exclusivity</w:t>
            </w:r>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w:t>
            </w:r>
          </w:p>
        </w:tc>
      </w:tr>
      <w:tr>
        <w:trPr/>
        <w:tc>
          <w:tcPr>
            <w:tcW w:w="169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6.10.</w:t>
            </w:r>
          </w:p>
        </w:tc>
        <w:tc>
          <w:tcPr>
            <w:tcW w:w="47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Resale Registration Statement</w:t>
            </w:r>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w:t>
            </w:r>
          </w:p>
        </w:tc>
      </w:tr>
      <w:tr>
        <w:trPr/>
        <w:tc>
          <w:tcPr>
            <w:tcW w:w="169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6.11.</w:t>
            </w:r>
          </w:p>
        </w:tc>
        <w:tc>
          <w:tcPr>
            <w:tcW w:w="47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NYSE American Listing.</w:t>
            </w:r>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w:t>
            </w:r>
          </w:p>
        </w:tc>
      </w:tr>
      <w:tr>
        <w:trPr/>
        <w:tc>
          <w:tcPr>
            <w:tcW w:w="169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6.12.</w:t>
            </w:r>
          </w:p>
        </w:tc>
        <w:tc>
          <w:tcPr>
            <w:tcW w:w="47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Interim Financing</w:t>
            </w:r>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w:t>
            </w:r>
          </w:p>
        </w:tc>
      </w:tr>
      <w:tr>
        <w:trPr/>
        <w:tc>
          <w:tcPr>
            <w:tcW w:w="169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6.13.</w:t>
            </w:r>
          </w:p>
        </w:tc>
        <w:tc>
          <w:tcPr>
            <w:tcW w:w="47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Transitional Integration Committee</w:t>
            </w:r>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r>
      <w:tr>
        <w:trPr/>
        <w:tc>
          <w:tcPr>
            <w:tcW w:w="169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6.14.</w:t>
            </w:r>
          </w:p>
        </w:tc>
        <w:tc>
          <w:tcPr>
            <w:tcW w:w="47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Rights</w:t>
            </w:r>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r>
      <w:tr>
        <w:trPr/>
        <w:tc>
          <w:tcPr>
            <w:tcW w:w="169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6.15.</w:t>
            </w:r>
          </w:p>
        </w:tc>
        <w:tc>
          <w:tcPr>
            <w:tcW w:w="47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Statements</w:t>
            </w:r>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r>
      <w:tr>
        <w:trPr/>
        <w:tc>
          <w:tcPr>
            <w:tcW w:w="169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71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6409" w:type="dxa"/>
            <w:gridSpan w:val="2"/>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VII CONDITIONS TO CLOSING</w:t>
            </w:r>
          </w:p>
        </w:tc>
        <w:tc>
          <w:tcPr>
            <w:tcW w:w="45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43</w:t>
            </w:r>
          </w:p>
        </w:tc>
      </w:tr>
      <w:tr>
        <w:trPr/>
        <w:tc>
          <w:tcPr>
            <w:tcW w:w="169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7.1.</w:t>
            </w:r>
          </w:p>
        </w:tc>
        <w:tc>
          <w:tcPr>
            <w:tcW w:w="47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Conditions to Obligations of all Parties</w:t>
            </w:r>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w:t>
            </w:r>
          </w:p>
        </w:tc>
      </w:tr>
      <w:tr>
        <w:trPr/>
        <w:tc>
          <w:tcPr>
            <w:tcW w:w="169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7.2.</w:t>
            </w:r>
          </w:p>
        </w:tc>
        <w:tc>
          <w:tcPr>
            <w:tcW w:w="47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Conditions to Obligations of the Purchaser</w:t>
            </w:r>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w:t>
            </w:r>
          </w:p>
        </w:tc>
      </w:tr>
      <w:tr>
        <w:trPr/>
        <w:tc>
          <w:tcPr>
            <w:tcW w:w="169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7.3.</w:t>
            </w:r>
          </w:p>
        </w:tc>
        <w:tc>
          <w:tcPr>
            <w:tcW w:w="47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Conditions to Obligations of Sellers</w:t>
            </w:r>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w:t>
            </w:r>
          </w:p>
        </w:tc>
      </w:tr>
      <w:tr>
        <w:trPr/>
        <w:tc>
          <w:tcPr>
            <w:tcW w:w="169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7.4.</w:t>
            </w:r>
          </w:p>
        </w:tc>
        <w:tc>
          <w:tcPr>
            <w:tcW w:w="47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Satisfaction of Conditions.</w:t>
            </w:r>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w:t>
            </w:r>
          </w:p>
        </w:tc>
      </w:tr>
      <w:tr>
        <w:trPr/>
        <w:tc>
          <w:tcPr>
            <w:tcW w:w="169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71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6409" w:type="dxa"/>
            <w:gridSpan w:val="2"/>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VIII SURVIVAL; INDEMNIFICATION</w:t>
            </w:r>
          </w:p>
        </w:tc>
        <w:tc>
          <w:tcPr>
            <w:tcW w:w="45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45</w:t>
            </w:r>
          </w:p>
        </w:tc>
      </w:tr>
      <w:tr>
        <w:trPr/>
        <w:tc>
          <w:tcPr>
            <w:tcW w:w="169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8.1.</w:t>
            </w:r>
          </w:p>
        </w:tc>
        <w:tc>
          <w:tcPr>
            <w:tcW w:w="47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Survival</w:t>
            </w:r>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w:t>
            </w:r>
          </w:p>
        </w:tc>
      </w:tr>
      <w:tr>
        <w:trPr/>
        <w:tc>
          <w:tcPr>
            <w:tcW w:w="169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8.2.</w:t>
            </w:r>
          </w:p>
        </w:tc>
        <w:tc>
          <w:tcPr>
            <w:tcW w:w="47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Indemnification</w:t>
            </w:r>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w:t>
            </w:r>
          </w:p>
        </w:tc>
      </w:tr>
      <w:tr>
        <w:trPr/>
        <w:tc>
          <w:tcPr>
            <w:tcW w:w="169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8.3.</w:t>
            </w:r>
          </w:p>
        </w:tc>
        <w:tc>
          <w:tcPr>
            <w:tcW w:w="47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Limitations on Indemnification</w:t>
            </w:r>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w:t>
            </w:r>
          </w:p>
        </w:tc>
      </w:tr>
      <w:tr>
        <w:trPr/>
        <w:tc>
          <w:tcPr>
            <w:tcW w:w="169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8.4.</w:t>
            </w:r>
          </w:p>
        </w:tc>
        <w:tc>
          <w:tcPr>
            <w:tcW w:w="47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Warranty &amp; Indemnity Insurance</w:t>
            </w:r>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w:t>
            </w:r>
          </w:p>
        </w:tc>
      </w:tr>
      <w:tr>
        <w:trPr/>
        <w:tc>
          <w:tcPr>
            <w:tcW w:w="169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8.5.</w:t>
            </w:r>
          </w:p>
        </w:tc>
        <w:tc>
          <w:tcPr>
            <w:tcW w:w="47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Exclusive Remedy</w:t>
            </w:r>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w:t>
            </w:r>
          </w:p>
        </w:tc>
      </w:tr>
      <w:tr>
        <w:trPr/>
        <w:tc>
          <w:tcPr>
            <w:tcW w:w="169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8.6.</w:t>
            </w:r>
          </w:p>
        </w:tc>
        <w:tc>
          <w:tcPr>
            <w:tcW w:w="47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Knowledge</w:t>
            </w:r>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w:t>
            </w:r>
          </w:p>
        </w:tc>
      </w:tr>
      <w:tr>
        <w:trPr/>
        <w:tc>
          <w:tcPr>
            <w:tcW w:w="169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8.7.</w:t>
            </w:r>
          </w:p>
        </w:tc>
        <w:tc>
          <w:tcPr>
            <w:tcW w:w="47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Method of Asserting and Resolving Claims</w:t>
            </w:r>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w:t>
            </w:r>
          </w:p>
        </w:tc>
      </w:tr>
      <w:tr>
        <w:trPr/>
        <w:tc>
          <w:tcPr>
            <w:tcW w:w="169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8.8.</w:t>
            </w:r>
          </w:p>
        </w:tc>
        <w:tc>
          <w:tcPr>
            <w:tcW w:w="47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Specific Risks Indemnification</w:t>
            </w:r>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w:t>
            </w:r>
          </w:p>
        </w:tc>
      </w:tr>
      <w:tr>
        <w:trPr/>
        <w:tc>
          <w:tcPr>
            <w:tcW w:w="169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8.9.</w:t>
            </w:r>
          </w:p>
        </w:tc>
        <w:tc>
          <w:tcPr>
            <w:tcW w:w="47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Sellers Representatives</w:t>
            </w:r>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w:t>
            </w:r>
          </w:p>
        </w:tc>
      </w:tr>
      <w:tr>
        <w:trPr/>
        <w:tc>
          <w:tcPr>
            <w:tcW w:w="169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71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r>
      <w:tr>
        <w:trPr/>
        <w:tc>
          <w:tcPr>
            <w:tcW w:w="6409" w:type="dxa"/>
            <w:gridSpan w:val="2"/>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IX TERMINATION</w:t>
            </w:r>
          </w:p>
        </w:tc>
        <w:tc>
          <w:tcPr>
            <w:tcW w:w="45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54</w:t>
            </w:r>
          </w:p>
        </w:tc>
      </w:tr>
      <w:tr>
        <w:trPr/>
        <w:tc>
          <w:tcPr>
            <w:tcW w:w="169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9.1.</w:t>
            </w:r>
          </w:p>
        </w:tc>
        <w:tc>
          <w:tcPr>
            <w:tcW w:w="47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Termination.</w:t>
            </w:r>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w:t>
            </w:r>
          </w:p>
        </w:tc>
      </w:tr>
      <w:tr>
        <w:trPr/>
        <w:tc>
          <w:tcPr>
            <w:tcW w:w="169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9.2.</w:t>
            </w:r>
          </w:p>
        </w:tc>
        <w:tc>
          <w:tcPr>
            <w:tcW w:w="47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 of Termination.</w:t>
            </w:r>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w:t>
            </w:r>
          </w:p>
        </w:tc>
      </w:tr>
    </w:tbl>
    <w:p>
      <w:pPr>
        <w:pStyle w:val="TextBody"/>
        <w:bidi w:val="0"/>
        <w:spacing w:before="0" w:after="0"/>
        <w:ind w:left="0" w:right="0" w:hanging="0"/>
        <w:jc w:val="both"/>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-iii-</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(continued)</w:t>
      </w:r>
    </w:p>
    <w:p>
      <w:pPr>
        <w:pStyle w:val="TextBody"/>
        <w:bidi w:val="0"/>
        <w:spacing w:before="0" w:after="0"/>
        <w:ind w:left="0" w:right="0" w:hanging="0"/>
        <w:jc w:val="center"/>
        <w:rPr>
          <w:caps w:val="false"/>
          <w:smallCaps w:val="false"/>
        </w:rPr>
      </w:pPr>
      <w:r>
        <w:rPr>
          <w:caps w:val="false"/>
          <w:smallCaps w:val="false"/>
        </w:rPr>
        <w:t> </w:t>
      </w:r>
    </w:p>
    <w:tbl>
      <w:tblPr>
        <w:tblW w:w="6900" w:type="dxa"/>
        <w:jc w:val="left"/>
        <w:tblInd w:w="0" w:type="dxa"/>
        <w:tblLayout w:type="fixed"/>
        <w:tblCellMar>
          <w:top w:w="0" w:type="dxa"/>
          <w:left w:w="0" w:type="dxa"/>
          <w:bottom w:w="0" w:type="dxa"/>
          <w:right w:w="0" w:type="dxa"/>
        </w:tblCellMar>
      </w:tblPr>
      <w:tblGrid>
        <w:gridCol w:w="1400"/>
        <w:gridCol w:w="5045"/>
        <w:gridCol w:w="455"/>
      </w:tblGrid>
      <w:tr>
        <w:trPr/>
        <w:tc>
          <w:tcPr>
            <w:tcW w:w="6445" w:type="dxa"/>
            <w:gridSpan w:val="2"/>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Page</w:t>
            </w:r>
          </w:p>
        </w:tc>
      </w:tr>
      <w:tr>
        <w:trPr/>
        <w:tc>
          <w:tcPr>
            <w:tcW w:w="6445" w:type="dxa"/>
            <w:gridSpan w:val="2"/>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6445" w:type="dxa"/>
            <w:gridSpan w:val="2"/>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X MISCELLANEOUS</w:t>
            </w:r>
          </w:p>
        </w:tc>
        <w:tc>
          <w:tcPr>
            <w:tcW w:w="45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56</w:t>
            </w:r>
          </w:p>
        </w:tc>
      </w:tr>
      <w:tr>
        <w:trPr/>
        <w:tc>
          <w:tcPr>
            <w:tcW w:w="14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10.1.</w:t>
            </w:r>
          </w:p>
        </w:tc>
        <w:tc>
          <w:tcPr>
            <w:tcW w:w="50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Exchange Rate</w:t>
            </w:r>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w:t>
            </w:r>
          </w:p>
        </w:tc>
      </w:tr>
      <w:tr>
        <w:trPr/>
        <w:tc>
          <w:tcPr>
            <w:tcW w:w="14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10.2.</w:t>
            </w:r>
          </w:p>
        </w:tc>
        <w:tc>
          <w:tcPr>
            <w:tcW w:w="50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Amendment and Modification</w:t>
            </w:r>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w:t>
            </w:r>
          </w:p>
        </w:tc>
      </w:tr>
      <w:tr>
        <w:trPr/>
        <w:tc>
          <w:tcPr>
            <w:tcW w:w="14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10.3.</w:t>
            </w:r>
          </w:p>
        </w:tc>
        <w:tc>
          <w:tcPr>
            <w:tcW w:w="50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Adherence and Transfer</w:t>
            </w:r>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w:t>
            </w:r>
          </w:p>
        </w:tc>
      </w:tr>
      <w:tr>
        <w:trPr/>
        <w:tc>
          <w:tcPr>
            <w:tcW w:w="14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10.4.</w:t>
            </w:r>
          </w:p>
        </w:tc>
        <w:tc>
          <w:tcPr>
            <w:tcW w:w="50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Termination of Existing Agreements and BSA Ratchet Waiver</w:t>
            </w:r>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w:t>
            </w:r>
          </w:p>
        </w:tc>
      </w:tr>
      <w:tr>
        <w:trPr/>
        <w:tc>
          <w:tcPr>
            <w:tcW w:w="14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10.5.</w:t>
            </w:r>
          </w:p>
        </w:tc>
        <w:tc>
          <w:tcPr>
            <w:tcW w:w="50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w:t>
            </w:r>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w:t>
            </w:r>
          </w:p>
        </w:tc>
      </w:tr>
      <w:tr>
        <w:trPr/>
        <w:tc>
          <w:tcPr>
            <w:tcW w:w="14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10.6.</w:t>
            </w:r>
          </w:p>
        </w:tc>
        <w:tc>
          <w:tcPr>
            <w:tcW w:w="50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Counterparts</w:t>
            </w:r>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w:t>
            </w:r>
          </w:p>
        </w:tc>
      </w:tr>
      <w:tr>
        <w:trPr/>
        <w:tc>
          <w:tcPr>
            <w:tcW w:w="14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10.7.</w:t>
            </w:r>
          </w:p>
        </w:tc>
        <w:tc>
          <w:tcPr>
            <w:tcW w:w="50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Entire Agreement; No Third Party Beneficiaries</w:t>
            </w:r>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w:t>
            </w:r>
          </w:p>
        </w:tc>
      </w:tr>
      <w:tr>
        <w:trPr/>
        <w:tc>
          <w:tcPr>
            <w:tcW w:w="14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10.8.</w:t>
            </w:r>
          </w:p>
        </w:tc>
        <w:tc>
          <w:tcPr>
            <w:tcW w:w="50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Severability</w:t>
            </w:r>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w:t>
            </w:r>
          </w:p>
        </w:tc>
      </w:tr>
      <w:tr>
        <w:trPr/>
        <w:tc>
          <w:tcPr>
            <w:tcW w:w="14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10.9.</w:t>
            </w:r>
          </w:p>
        </w:tc>
        <w:tc>
          <w:tcPr>
            <w:tcW w:w="50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Governing Law</w:t>
            </w:r>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w:t>
            </w:r>
          </w:p>
        </w:tc>
      </w:tr>
      <w:tr>
        <w:trPr/>
        <w:tc>
          <w:tcPr>
            <w:tcW w:w="14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10.10.</w:t>
            </w:r>
          </w:p>
        </w:tc>
        <w:tc>
          <w:tcPr>
            <w:tcW w:w="50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Venue and Jurisdiction.</w:t>
            </w:r>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w:t>
            </w:r>
          </w:p>
        </w:tc>
      </w:tr>
      <w:tr>
        <w:trPr/>
        <w:tc>
          <w:tcPr>
            <w:tcW w:w="14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10.11.</w:t>
            </w:r>
          </w:p>
        </w:tc>
        <w:tc>
          <w:tcPr>
            <w:tcW w:w="50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Enforcement</w:t>
            </w:r>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w:t>
            </w:r>
          </w:p>
        </w:tc>
      </w:tr>
      <w:tr>
        <w:trPr/>
        <w:tc>
          <w:tcPr>
            <w:tcW w:w="14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10.12.</w:t>
            </w:r>
          </w:p>
        </w:tc>
        <w:tc>
          <w:tcPr>
            <w:tcW w:w="50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Extension; Waiver</w:t>
            </w:r>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w:t>
            </w:r>
          </w:p>
        </w:tc>
      </w:tr>
      <w:tr>
        <w:trPr/>
        <w:tc>
          <w:tcPr>
            <w:tcW w:w="14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10.13.</w:t>
            </w:r>
          </w:p>
        </w:tc>
        <w:tc>
          <w:tcPr>
            <w:tcW w:w="50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Assignment</w:t>
            </w:r>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w:t>
            </w:r>
          </w:p>
        </w:tc>
      </w:tr>
      <w:tr>
        <w:trPr/>
        <w:tc>
          <w:tcPr>
            <w:tcW w:w="14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10.14.</w:t>
            </w:r>
          </w:p>
        </w:tc>
        <w:tc>
          <w:tcPr>
            <w:tcW w:w="50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Headings</w:t>
            </w:r>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w:t>
            </w:r>
          </w:p>
        </w:tc>
      </w:tr>
      <w:tr>
        <w:trPr/>
        <w:tc>
          <w:tcPr>
            <w:tcW w:w="14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10.15.</w:t>
            </w:r>
          </w:p>
        </w:tc>
        <w:tc>
          <w:tcPr>
            <w:tcW w:w="50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Days</w:t>
            </w:r>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w:t>
            </w:r>
          </w:p>
        </w:tc>
      </w:tr>
    </w:tbl>
    <w:p>
      <w:pPr>
        <w:pStyle w:val="TextBody"/>
        <w:bidi w:val="0"/>
        <w:spacing w:before="0" w:after="0"/>
        <w:ind w:left="0" w:right="0" w:hanging="0"/>
        <w:jc w:val="both"/>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-iv-</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 SALE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 SALE AGREEMENT, dated as of April 14</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2026 (the “</w:t>
      </w:r>
      <w:r>
        <w:rPr>
          <w:rFonts w:ascii="Times New Roman;Times;Serif" w:hAnsi="Times New Roman;Times;Serif"/>
          <w:b w:val="false"/>
          <w:i w:val="false"/>
          <w:caps w:val="false"/>
          <w:smallCaps w:val="false"/>
          <w:sz w:val="20"/>
          <w:u w:val="single"/>
        </w:rPr>
        <w:t>Agreement</w:t>
      </w:r>
      <w:r>
        <w:rPr>
          <w:rFonts w:ascii="Times New Roman;Times;Serif" w:hAnsi="Times New Roman;Times;Serif"/>
          <w:b w:val="false"/>
          <w:i w:val="false"/>
          <w:caps w:val="false"/>
          <w:smallCaps w:val="false"/>
          <w:sz w:val="20"/>
        </w:rPr>
        <w:t>”), by and among (i) Stereotaxis, Inc., a Delaware corporation (“</w:t>
      </w:r>
      <w:r>
        <w:rPr>
          <w:rFonts w:ascii="Times New Roman;Times;Serif" w:hAnsi="Times New Roman;Times;Serif"/>
          <w:b w:val="false"/>
          <w:i w:val="false"/>
          <w:caps w:val="false"/>
          <w:smallCaps w:val="false"/>
          <w:sz w:val="20"/>
          <w:u w:val="single"/>
        </w:rPr>
        <w:t>Purchaser</w:t>
      </w:r>
      <w:r>
        <w:rPr>
          <w:rFonts w:ascii="Times New Roman;Times;Serif" w:hAnsi="Times New Roman;Times;Serif"/>
          <w:b w:val="false"/>
          <w:i w:val="false"/>
          <w:caps w:val="false"/>
          <w:smallCaps w:val="false"/>
          <w:sz w:val="20"/>
        </w:rPr>
        <w:t xml:space="preserve">”), (ii) the shareholders of Company (as defined below) set out in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(each, a “</w:t>
      </w:r>
      <w:r>
        <w:rPr>
          <w:rFonts w:ascii="Times New Roman;Times;Serif" w:hAnsi="Times New Roman;Times;Serif"/>
          <w:b w:val="false"/>
          <w:i w:val="false"/>
          <w:caps w:val="false"/>
          <w:smallCaps w:val="false"/>
          <w:sz w:val="20"/>
          <w:u w:val="single"/>
        </w:rPr>
        <w:t>Seller</w:t>
      </w:r>
      <w:r>
        <w:rPr>
          <w:rFonts w:ascii="Times New Roman;Times;Serif" w:hAnsi="Times New Roman;Times;Serif"/>
          <w:b w:val="false"/>
          <w:i w:val="false"/>
          <w:caps w:val="false"/>
          <w:smallCaps w:val="false"/>
          <w:sz w:val="20"/>
        </w:rPr>
        <w:t>” and, collectively, the “</w:t>
      </w:r>
      <w:r>
        <w:rPr>
          <w:rFonts w:ascii="Times New Roman;Times;Serif" w:hAnsi="Times New Roman;Times;Serif"/>
          <w:b w:val="false"/>
          <w:i w:val="false"/>
          <w:caps w:val="false"/>
          <w:smallCaps w:val="false"/>
          <w:sz w:val="20"/>
          <w:u w:val="single"/>
        </w:rPr>
        <w:t>Sellers</w:t>
      </w:r>
      <w:r>
        <w:rPr>
          <w:rFonts w:ascii="Times New Roman;Times;Serif" w:hAnsi="Times New Roman;Times;Serif"/>
          <w:b w:val="false"/>
          <w:i w:val="false"/>
          <w:caps w:val="false"/>
          <w:smallCaps w:val="false"/>
          <w:sz w:val="20"/>
        </w:rPr>
        <w:t xml:space="preserve">”), (iii) Robocath, a French </w:t>
      </w:r>
      <w:r>
        <w:rPr>
          <w:rFonts w:ascii="Times New Roman;Times;Serif" w:hAnsi="Times New Roman;Times;Serif"/>
          <w:b w:val="false"/>
          <w:i/>
          <w:caps w:val="false"/>
          <w:smallCaps w:val="false"/>
          <w:sz w:val="20"/>
        </w:rPr>
        <w:t>société par actions simplifiée</w:t>
      </w:r>
      <w:r>
        <w:rPr>
          <w:rFonts w:ascii="Times New Roman;Times;Serif" w:hAnsi="Times New Roman;Times;Serif"/>
          <w:b w:val="false"/>
          <w:i w:val="false"/>
          <w:caps w:val="false"/>
          <w:smallCaps w:val="false"/>
          <w:sz w:val="20"/>
        </w:rPr>
        <w:t>, with a registered office located at 19 rue Marie Curie, 76000 Rouen, registered under number 515 353 316 at the Rouen Trade and Companies Register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(iv) the Manager. Purchaser, Company, Sellers (including any third party adhering to the Agreement in such capacity) and the Manager are acting severally and not jointly for the purpose of this Agreement and referred to in this Agreement collectively as the “</w:t>
      </w:r>
      <w:r>
        <w:rPr>
          <w:rFonts w:ascii="Times New Roman;Times;Serif" w:hAnsi="Times New Roman;Times;Serif"/>
          <w:b w:val="false"/>
          <w:i w:val="false"/>
          <w:caps w:val="false"/>
          <w:smallCaps w:val="false"/>
          <w:sz w:val="20"/>
          <w:u w:val="single"/>
        </w:rPr>
        <w:t>Parties</w:t>
      </w:r>
      <w:r>
        <w:rPr>
          <w:rFonts w:ascii="Times New Roman;Times;Serif" w:hAnsi="Times New Roman;Times;Serif"/>
          <w:b w:val="false"/>
          <w:i w:val="false"/>
          <w:caps w:val="false"/>
          <w:smallCaps w:val="false"/>
          <w:sz w:val="20"/>
        </w:rPr>
        <w:t>” and individually as a “</w:t>
      </w:r>
      <w:r>
        <w:rPr>
          <w:rFonts w:ascii="Times New Roman;Times;Serif" w:hAnsi="Times New Roman;Times;Serif"/>
          <w:b w:val="false"/>
          <w:i w:val="false"/>
          <w:caps w:val="false"/>
          <w:smallCaps w:val="false"/>
          <w:sz w:val="20"/>
          <w:u w:val="single"/>
        </w:rPr>
        <w:t>Party</w:t>
      </w:r>
      <w:r>
        <w:rPr>
          <w:rFonts w:ascii="Times New Roman;Times;Serif" w:hAnsi="Times New Roman;Times;Serif"/>
          <w:b w:val="false"/>
          <w:i w:val="false"/>
          <w:caps w:val="false"/>
          <w:smallCaps w:val="false"/>
          <w:sz w:val="20"/>
        </w:rPr>
        <w:t xml:space="preserve">.” Capitalized terms used and not otherwise defined in this Agreement have the meanings given to them in </w:t>
      </w:r>
      <w:r>
        <w:rPr>
          <w:rFonts w:ascii="Times New Roman;Times;Serif" w:hAnsi="Times New Roman;Times;Serif"/>
          <w:b w:val="false"/>
          <w:i w:val="false"/>
          <w:caps w:val="false"/>
          <w:smallCaps w:val="false"/>
          <w:sz w:val="20"/>
          <w:u w:val="single"/>
        </w:rPr>
        <w:t>Appendix A</w:t>
      </w:r>
      <w:r>
        <w:rPr>
          <w:rFonts w:ascii="Times New Roman;Times;Serif" w:hAnsi="Times New Roman;Times;Serif"/>
          <w:b w:val="false"/>
          <w:i w:val="false"/>
          <w:caps w:val="false"/>
          <w:smallCaps w:val="false"/>
          <w:sz w:val="20"/>
        </w:rPr>
        <w:t xml:space="preserve"> hereto.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on the date hereof, the Company has [***] issued and outstanding Company shares, [***] BSPCE (</w:t>
      </w:r>
      <w:r>
        <w:rPr>
          <w:rFonts w:ascii="Times New Roman;Times;Serif" w:hAnsi="Times New Roman;Times;Serif"/>
          <w:b w:val="false"/>
          <w:i/>
          <w:caps w:val="false"/>
          <w:smallCaps w:val="false"/>
          <w:sz w:val="20"/>
        </w:rPr>
        <w:t>bons de souscription de parts de créateur d’entreprise</w:t>
      </w:r>
      <w:r>
        <w:rPr>
          <w:rFonts w:ascii="Times New Roman;Times;Serif" w:hAnsi="Times New Roman;Times;Serif"/>
          <w:b w:val="false"/>
          <w:i w:val="false"/>
          <w:caps w:val="false"/>
          <w:smallCaps w:val="false"/>
          <w:sz w:val="20"/>
        </w:rPr>
        <w:t xml:space="preserve">), [***] BSA Ratchet, [***] BSA EIB as set forth in the capitalization table of Company attached as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 xml:space="preserve">. Immediately prior to the Closing, upon completion of the Equity Pre-Closing Transactions, Company will have [***] issued and outstanding Company shares and a number of Series D2 Shares to be determined entitling its holder to receive [***]% (or any other percentage agreed between the EIB and the Sellers in accordance with the last paragraph of the “Earn-Out Entitlement and EIB liquidation preference and carve out” of the EIB Term Sheet as set forth in </w:t>
      </w:r>
      <w:r>
        <w:rPr>
          <w:rFonts w:ascii="Times New Roman;Times;Serif" w:hAnsi="Times New Roman;Times;Serif"/>
          <w:b w:val="false"/>
          <w:i w:val="false"/>
          <w:caps w:val="false"/>
          <w:smallCaps w:val="false"/>
          <w:sz w:val="20"/>
          <w:u w:val="single"/>
        </w:rPr>
        <w:t>Exhibit 7.2(e)</w:t>
      </w:r>
      <w:r>
        <w:rPr>
          <w:rFonts w:ascii="Times New Roman;Times;Serif" w:hAnsi="Times New Roman;Times;Serif"/>
          <w:b w:val="false"/>
          <w:i w:val="false"/>
          <w:caps w:val="false"/>
          <w:smallCaps w:val="false"/>
          <w:sz w:val="20"/>
        </w:rPr>
        <w:t>) of the Upfront Stock Consideration (the “</w:t>
      </w:r>
      <w:r>
        <w:rPr>
          <w:rFonts w:ascii="Times New Roman;Times;Serif" w:hAnsi="Times New Roman;Times;Serif"/>
          <w:b w:val="false"/>
          <w:i w:val="false"/>
          <w:caps w:val="false"/>
          <w:smallCaps w:val="false"/>
          <w:sz w:val="20"/>
          <w:u w:val="single"/>
        </w:rPr>
        <w:t>Shares</w:t>
      </w:r>
      <w:r>
        <w:rPr>
          <w:rFonts w:ascii="Times New Roman;Times;Serif" w:hAnsi="Times New Roman;Times;Serif"/>
          <w:b w:val="false"/>
          <w:i w:val="false"/>
          <w:caps w:val="false"/>
          <w:smallCaps w:val="false"/>
          <w:sz w:val="20"/>
        </w:rPr>
        <w:t>”) and [***] BSA EIB (together with the Shares, the “</w:t>
      </w:r>
      <w:r>
        <w:rPr>
          <w:rFonts w:ascii="Times New Roman;Times;Serif" w:hAnsi="Times New Roman;Times;Serif"/>
          <w:b w:val="false"/>
          <w:i w:val="false"/>
          <w:caps w:val="false"/>
          <w:smallCaps w:val="false"/>
          <w:sz w:val="20"/>
          <w:u w:val="single"/>
        </w:rPr>
        <w:t>Sold Securities</w:t>
      </w:r>
      <w:r>
        <w:rPr>
          <w:rFonts w:ascii="Times New Roman;Times;Serif" w:hAnsi="Times New Roman;Times;Serif"/>
          <w:b w:val="false"/>
          <w:i w:val="false"/>
          <w:caps w:val="false"/>
          <w:smallCaps w:val="false"/>
          <w:sz w:val="20"/>
        </w:rPr>
        <w:t xml:space="preserve">”) which (i) are held by the Sellers as set forth in the capitalization table of Company attached as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 xml:space="preserve"> hereto (the “</w:t>
      </w:r>
      <w:r>
        <w:rPr>
          <w:rFonts w:ascii="Times New Roman;Times;Serif" w:hAnsi="Times New Roman;Times;Serif"/>
          <w:b w:val="false"/>
          <w:i w:val="false"/>
          <w:caps w:val="false"/>
          <w:smallCaps w:val="false"/>
          <w:sz w:val="20"/>
          <w:u w:val="single"/>
        </w:rPr>
        <w:t>Company Capitalization Table</w:t>
      </w:r>
      <w:r>
        <w:rPr>
          <w:rFonts w:ascii="Times New Roman;Times;Serif" w:hAnsi="Times New Roman;Times;Serif"/>
          <w:b w:val="false"/>
          <w:i w:val="false"/>
          <w:caps w:val="false"/>
          <w:smallCaps w:val="false"/>
          <w:sz w:val="20"/>
        </w:rPr>
        <w:t>”), and (ii) represent 100% of the share capital and voting power of Company (on a fully-diluted basis) at Closing.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Purchaser wishes to acquire from Sellers and Sellers wish to sell to Purchaser, all of the Sold Securities held by Sellers, upon the terms and conditions set forth 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on 30 March 2026, the Company has completed the information and consultation of its Social Economic Committee (</w:t>
      </w:r>
      <w:r>
        <w:rPr>
          <w:rFonts w:ascii="Times New Roman;Times;Serif" w:hAnsi="Times New Roman;Times;Serif"/>
          <w:b w:val="false"/>
          <w:i/>
          <w:caps w:val="false"/>
          <w:smallCaps w:val="false"/>
          <w:sz w:val="20"/>
        </w:rPr>
        <w:t>Comité Social et Economique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in consideration of the foregoing and the mutual representations, warranties and covenants in this Agreement, the Parties, intending to be legally bound, agree as follows: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I</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PURCHASE AND </w:t>
      </w:r>
      <w:r>
        <w:rPr>
          <w:rFonts w:ascii="Times New Roman;Times;Serif" w:hAnsi="Times New Roman;Times;Serif"/>
          <w:b/>
          <w:i w:val="false"/>
          <w:caps/>
          <w:sz w:val="20"/>
        </w:rPr>
        <w:t>SALE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1.1. </w:t>
      </w:r>
      <w:r>
        <w:rPr>
          <w:rFonts w:ascii="Times New Roman;Times;Serif" w:hAnsi="Times New Roman;Times;Serif"/>
          <w:b w:val="false"/>
          <w:i/>
          <w:caps w:val="false"/>
          <w:smallCaps w:val="false"/>
          <w:sz w:val="20"/>
        </w:rPr>
        <w:t>Purchase and Sale of Sold Securities</w:t>
      </w:r>
      <w:r>
        <w:rPr>
          <w:rFonts w:ascii="Times New Roman;Times;Serif" w:hAnsi="Times New Roman;Times;Serif"/>
          <w:b w:val="false"/>
          <w:i w:val="false"/>
          <w:caps w:val="false"/>
          <w:smallCaps w:val="false"/>
          <w:sz w:val="20"/>
        </w:rPr>
        <w:t>.</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142" w:right="0" w:firstLine="129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terms and conditions set forth in this Agreement, at the Closing, each Seller, with regards to its respective Sold Securities, will sell, assign, transfer, convey, and deliver to Purchaser, and Purchaser will purchase, acquire, and accept from the Sellers, all right, title and interest in and to the Sold Securities, free and clear of all Encumbrances.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1.2. </w:t>
      </w:r>
      <w:r>
        <w:rPr>
          <w:rFonts w:ascii="Times New Roman;Times;Serif" w:hAnsi="Times New Roman;Times;Serif"/>
          <w:b w:val="false"/>
          <w:i/>
          <w:caps w:val="false"/>
          <w:smallCaps w:val="false"/>
          <w:sz w:val="20"/>
        </w:rPr>
        <w:t>Total Consideration.</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Purchase Price</w:t>
      </w:r>
      <w:r>
        <w:rPr>
          <w:rFonts w:ascii="Times New Roman;Times;Serif" w:hAnsi="Times New Roman;Times;Serif"/>
          <w:b w:val="false"/>
          <w:i w:val="false"/>
          <w:caps w:val="false"/>
          <w:smallCaps w:val="false"/>
          <w:sz w:val="20"/>
        </w:rPr>
        <w:t>. The aggregate consideration to be paid by Purchaser to Sellers for the purchase of the Sold Securities (the “</w:t>
      </w:r>
      <w:r>
        <w:rPr>
          <w:rFonts w:ascii="Times New Roman;Times;Serif" w:hAnsi="Times New Roman;Times;Serif"/>
          <w:b w:val="false"/>
          <w:i w:val="false"/>
          <w:caps w:val="false"/>
          <w:smallCaps w:val="false"/>
          <w:sz w:val="20"/>
          <w:u w:val="single"/>
        </w:rPr>
        <w:t>Purchase Price</w:t>
      </w:r>
      <w:r>
        <w:rPr>
          <w:rFonts w:ascii="Times New Roman;Times;Serif" w:hAnsi="Times New Roman;Times;Serif"/>
          <w:b w:val="false"/>
          <w:i w:val="false"/>
          <w:caps w:val="false"/>
          <w:smallCaps w:val="false"/>
          <w:sz w:val="20"/>
        </w:rPr>
        <w:t xml:space="preserve">”) will be: (i) the Upfront Stock Consideration; </w:t>
      </w:r>
      <w:r>
        <w:rPr>
          <w:rFonts w:ascii="Times New Roman;Times;Serif" w:hAnsi="Times New Roman;Times;Serif"/>
          <w:b w:val="false"/>
          <w:i/>
          <w:caps w:val="false"/>
          <w:smallCaps w:val="false"/>
          <w:sz w:val="20"/>
        </w:rPr>
        <w:t>plus</w:t>
      </w:r>
      <w:r>
        <w:rPr>
          <w:rFonts w:ascii="Times New Roman;Times;Serif" w:hAnsi="Times New Roman;Times;Serif"/>
          <w:b w:val="false"/>
          <w:i w:val="false"/>
          <w:caps w:val="false"/>
          <w:smallCaps w:val="false"/>
          <w:sz w:val="20"/>
        </w:rPr>
        <w:t xml:space="preserve"> (ii) the Regulatory Milestone Consideration, if any; </w:t>
      </w:r>
      <w:r>
        <w:rPr>
          <w:rFonts w:ascii="Times New Roman;Times;Serif" w:hAnsi="Times New Roman;Times;Serif"/>
          <w:b w:val="false"/>
          <w:i/>
          <w:caps w:val="false"/>
          <w:smallCaps w:val="false"/>
          <w:sz w:val="20"/>
        </w:rPr>
        <w:t>plus</w:t>
      </w:r>
      <w:r>
        <w:rPr>
          <w:rFonts w:ascii="Times New Roman;Times;Serif" w:hAnsi="Times New Roman;Times;Serif"/>
          <w:b w:val="false"/>
          <w:i w:val="false"/>
          <w:caps w:val="false"/>
          <w:smallCaps w:val="false"/>
          <w:sz w:val="20"/>
        </w:rPr>
        <w:t xml:space="preserve"> (iii) the Commercial Milestones Consideration, if any. The Purchase Price may amount to a total value of up to $45,000,000. The allocation of the Purchase Price payable under this Agreement is made based on the Consideration Allocation Spreadsheet provided by the Sellers Representatives in Section 2.2(b), under the sole and exclusive responsibility of the Sellers, and Purchaser will incur no liability whatsoever with respect thereto. Sellers shall indemnify and hold harmless Purchaser from and against any and all claims, liabilities, losses, damages, costs, and expenses (including reasonable attorneys’ fees) arising out of or relating to any disputes among Sellers regarding the allocation or distribution of the Purchase Price.</w:t>
      </w:r>
    </w:p>
    <w:p>
      <w:pPr>
        <w:pStyle w:val="TextBody"/>
        <w:bidi w:val="0"/>
        <w:spacing w:before="0" w:after="0"/>
        <w:ind w:left="0" w:right="0" w:firstLine="1440"/>
        <w:jc w:val="both"/>
        <w:rPr>
          <w:caps w:val="false"/>
          <w:smallCaps w:val="false"/>
        </w:rPr>
      </w:pPr>
      <w:r>
        <w:rPr>
          <w:caps w:val="false"/>
          <w:smallCaps w:val="false"/>
        </w:rPr>
        <w:t>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283"/>
              <w:jc w:val="center"/>
              <w:rPr/>
            </w:pPr>
            <w:r>
              <w:rPr/>
              <w:t>-1-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Payment</w:t>
      </w:r>
      <w:r>
        <w:rPr>
          <w:rFonts w:ascii="Times New Roman;Times;Serif" w:hAnsi="Times New Roman;Times;Serif"/>
          <w:b w:val="false"/>
          <w:i w:val="false"/>
          <w:caps w:val="false"/>
          <w:smallCaps w:val="false"/>
          <w:sz w:val="20"/>
        </w:rPr>
        <w:t>. Payment of the Purchase Price will be made in cash and/or Purchaser Common Stock under the terms of this Agreement. Notwithstanding anything to the contrary in this Agreement, EIB, and any Affiliate thereof that has acquired or holds securities issued by Robocath, including any trust or fiduciary arrangement holding such securities on behalf of any of the foregoing, may, by written notice to Purchaser, no later than five (5) Business Days prior to the applicable issuance date, elect to have that all or portion of the Purchaser Common Stock otherwise issuable to the Sellers pursuant to this Agreement (whether as Upfront Stock Consideration, Regulatory Milestone Consideration, or Commercial Milestones Consideration) instead be issued in the form of warrants to purchase Purchaser Common Stock (the “</w:t>
      </w:r>
      <w:r>
        <w:rPr>
          <w:rFonts w:ascii="Times New Roman;Times;Serif" w:hAnsi="Times New Roman;Times;Serif"/>
          <w:b w:val="false"/>
          <w:i w:val="false"/>
          <w:caps w:val="false"/>
          <w:smallCaps w:val="false"/>
          <w:sz w:val="20"/>
          <w:u w:val="single"/>
        </w:rPr>
        <w:t>Purchaser Warrants</w:t>
      </w:r>
      <w:r>
        <w:rPr>
          <w:rFonts w:ascii="Times New Roman;Times;Serif" w:hAnsi="Times New Roman;Times;Serif"/>
          <w:b w:val="false"/>
          <w:i w:val="false"/>
          <w:caps w:val="false"/>
          <w:smallCaps w:val="false"/>
          <w:sz w:val="20"/>
        </w:rPr>
        <w:t>”). Each Purchaser Warrant shall (i) entitle the holder thereof to acquire one share of Purchaser Common Stock, (ii) have an exercise price equal to the par value of the Purchaser Common Stock, (iii) be exercisable at any time from the date of issuance until the 5</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anniversary as from the date of payment. The Purchaser Warrants shall be issued pursuant to the terms attached as </w:t>
      </w:r>
      <w:r>
        <w:rPr>
          <w:rFonts w:ascii="Times New Roman;Times;Serif" w:hAnsi="Times New Roman;Times;Serif"/>
          <w:b w:val="false"/>
          <w:i w:val="false"/>
          <w:caps w:val="false"/>
          <w:smallCaps w:val="false"/>
          <w:sz w:val="20"/>
          <w:u w:val="single"/>
        </w:rPr>
        <w:t>Exhibit 1.2(b)</w:t>
      </w:r>
      <w:r>
        <w:rPr>
          <w:rFonts w:ascii="Times New Roman;Times;Serif" w:hAnsi="Times New Roman;Times;Serif"/>
          <w:b w:val="false"/>
          <w:i w:val="false"/>
          <w:caps w:val="false"/>
          <w:smallCaps w:val="false"/>
          <w:sz w:val="20"/>
        </w:rPr>
        <w:t>. For purposes of this Agreement, any reference to the issuance of Purchaser Common Stock shall, to the extent the Sellers Representatives have made such election, be deemed to refer to the issuance of Purchaser Warrants, and the number of Purchaser Warrants to be issued shall be determined on the same basis as the number of shares of Purchaser Common Stock that would otherwise have been issuable. The shares of Purchaser Common Stock issuable upon exercise of the Purchaser Warrants (but not the Purchaser Warrants) shall be deemed “Registrable Securities” for purposes of Section 6.10. Purchaser shall maintain a written record of the aggregate number of shares of Purchaser Common Stock issued or issuable pursuant to this Agreement, whether issued as Upfront Stock Consideration Regulatory Milestone Consideration or Commercial Milestone Consideration (the “</w:t>
      </w:r>
      <w:r>
        <w:rPr>
          <w:rFonts w:ascii="Times New Roman;Times;Serif" w:hAnsi="Times New Roman;Times;Serif"/>
          <w:b w:val="false"/>
          <w:i w:val="false"/>
          <w:caps w:val="false"/>
          <w:smallCaps w:val="false"/>
          <w:sz w:val="20"/>
          <w:u w:val="single"/>
        </w:rPr>
        <w:t>Share Issuance Ledger</w:t>
      </w:r>
      <w:r>
        <w:rPr>
          <w:rFonts w:ascii="Times New Roman;Times;Serif" w:hAnsi="Times New Roman;Times;Serif"/>
          <w:b w:val="false"/>
          <w:i w:val="false"/>
          <w:caps w:val="false"/>
          <w:smallCaps w:val="false"/>
          <w:sz w:val="20"/>
        </w:rPr>
        <w:t>”). Purchaser shall not be obligated to issue an aggregate number of shares of Purchaser Common Stock (including any Purchaser Common Stock issuable upon exercise of any Purchaser Warrants) under this Agreement in excess of the Share Cap without obtaining any required stockholder approval under the rules of NYSE American.</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Sellers Transaction Expenses</w:t>
      </w:r>
      <w:r>
        <w:rPr>
          <w:rFonts w:ascii="Times New Roman;Times;Serif" w:hAnsi="Times New Roman;Times;Serif"/>
          <w:b w:val="false"/>
          <w:i w:val="false"/>
          <w:caps w:val="false"/>
          <w:smallCaps w:val="false"/>
          <w:sz w:val="20"/>
        </w:rPr>
        <w:t>. The Sellers shall bear all Sellers Transaction Expenses. At the Closing (and, as the case may be, on each payment date of Earnout Consideration), the Purchaser shall, on behalf of the Sellers and in discharge of the Sellers’ obligation to pay the Sellers Transaction Expenses, pay or cause to be paid the Sellers Transaction Expenses directly to the relevant service providers, to their respective bank accounts as set forth in the Consideration Allocation Spreadsheet, by wire transfer of immediately available funds provided that (i) the Purchaser has received, at least five (5) Business Days prior to each payment date, a detailed estimate of such Sellers Transaction Expenses and that (ii) the Sellers Transaction Expenses to be paid by the Purchaser pursuant to this Section shall be capped at the Estimated Upfront Consideration (and with respect to payment to be done immediately prior to each payment of Earnout Consideration, at the relevant Earnout Consideration) and the Sellers Transaction Expenses that may be paid, pursuant to this Section, in cash, shall be capped at Closing at EUR [***], and the Sellers Transaction Expenses that may be paid, pursuant to this Section, on each payment date of Earnout Consideration, shall be capped at [***]% of each Earnout Consideration. The amounts so paid by the Purchaser on behalf of the Sellers shall reduce, on a dollar-for-dollar basis, the Upfront Stock Consideration, payable to the Sellers in accordance with the Consideration Allocation Spreadsheet. For the avoidance of doubt, (i) the payment by the Purchaser of the Sellers Transaction Expenses pursuant to this Section 1.2(c) shall constitute a payment on behalf of, and for the account of, the Sellers out of the Purchase Price and shall not give rise to any additional obligation of the Purchaser and (ii) any Sellers Transaction Expenses not paid by Purchaser on the Sellers’ behalf pursuant to this Section 1.2(c) shall remain the sole obligation of the Sellers. By exception, subject to the caps referred to above, Agile Capital Markets shall receive its payment at Closing (and, as the case may be, on each payment date of Earnout Consideration) in Purchaser Common Stock, with the value thereof determined in an identical fashion to the Upfront Stock Consideration, it being specified that Agile Capital Markets shall provide reasonable and customary representations under applicable U.S. and non-U.S. securities law, satisfactory to Purchaser in its sole discretion.</w:t>
      </w:r>
    </w:p>
    <w:p>
      <w:pPr>
        <w:pStyle w:val="TextBody"/>
        <w:bidi w:val="0"/>
        <w:spacing w:before="0" w:after="0"/>
        <w:ind w:left="0" w:right="0" w:firstLine="1440"/>
        <w:jc w:val="both"/>
        <w:rPr>
          <w:caps w:val="false"/>
          <w:smallCaps w:val="false"/>
        </w:rPr>
      </w:pPr>
      <w:r>
        <w:rPr>
          <w:caps w:val="false"/>
          <w:smallCaps w:val="false"/>
        </w:rPr>
        <w:t>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283"/>
              <w:jc w:val="center"/>
              <w:rPr/>
            </w:pPr>
            <w:r>
              <w:rPr/>
              <w:t>-2-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Escrow</w:t>
      </w:r>
      <w:r>
        <w:rPr>
          <w:rFonts w:ascii="Times New Roman;Times;Serif" w:hAnsi="Times New Roman;Times;Serif"/>
          <w:b w:val="false"/>
          <w:i w:val="false"/>
          <w:caps w:val="false"/>
          <w:smallCaps w:val="false"/>
          <w:sz w:val="20"/>
        </w:rPr>
        <w:t>. Purchaser shall, on behalf of the Sellers, deposit an amount of $75,000 into an escrow account held with the CARPA (the “</w:t>
      </w:r>
      <w:r>
        <w:rPr>
          <w:rFonts w:ascii="Times New Roman;Times;Serif" w:hAnsi="Times New Roman;Times;Serif"/>
          <w:b w:val="false"/>
          <w:i w:val="false"/>
          <w:caps w:val="false"/>
          <w:smallCaps w:val="false"/>
          <w:sz w:val="20"/>
          <w:u w:val="single"/>
        </w:rPr>
        <w:t>Escrow Amount</w:t>
      </w:r>
      <w:r>
        <w:rPr>
          <w:rFonts w:ascii="Times New Roman;Times;Serif" w:hAnsi="Times New Roman;Times;Serif"/>
          <w:b w:val="false"/>
          <w:i w:val="false"/>
          <w:caps w:val="false"/>
          <w:smallCaps w:val="false"/>
          <w:sz w:val="20"/>
        </w:rPr>
        <w:t>”), the details of which shall be provided to the Purchaser at least five (5) Business Days prior to the Closing Date. The Sellers agree that the Escrow Amount shall be placed at the disposal of the Sellers Representatives in connection with the performance of their duties as Sellers Representatives, who shall have the authority to instruct the release of all or any part of the Escrow Amount for the purpose of paying external service providers, including legal counsels and accountants. The amounts so paid by the Purchaser on behalf of the Sellers shall reduce, on a dollar-for-dollar basis, the Upfront Stock Consideration payable to the Sellers in accordance with the Consideration Allocation Spreadsheet. For the avoidance of doubt, the payment by the Purchaser of the Escrow Amount pursuant to this Section 1.2(d) shall constitute a payment on behalf of, and for the account of, the Sellers out of the Purchase Price and shall not give rise to any additional obligation of the Purchaser.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Delisting of the Purchaser</w:t>
      </w:r>
      <w:r>
        <w:rPr>
          <w:rFonts w:ascii="Times New Roman;Times;Serif" w:hAnsi="Times New Roman;Times;Serif"/>
          <w:b w:val="false"/>
          <w:i w:val="false"/>
          <w:caps w:val="false"/>
          <w:smallCaps w:val="false"/>
          <w:sz w:val="20"/>
        </w:rPr>
        <w:t>. In the event that, on the date any payment due by the Purchaser shall be made pursuant to this Agreement, the Purchaser Common Stock is no longer listed on a nationally recognized securities exchange, or a delisting is pending (but certain to occur), such payment shall be made exclusively in cash. Notwithstanding the foregoing, the Purchaser shall be entitled to make such payment in Purchaser Common Stock if, at the time of payment, the Purchaser Common Stock is listed on a public over-the-counter market and the average daily trading volume of the Purchaser Common Stock over the three (3)-month period immediately preceding the applicable payment date equals or exceeds 0.4% of the total number of issued and outstanding shares of Purchaser Common Stock as of such date.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1.3. </w:t>
      </w:r>
      <w:r>
        <w:rPr>
          <w:rFonts w:ascii="Times New Roman;Times;Serif" w:hAnsi="Times New Roman;Times;Serif"/>
          <w:b w:val="false"/>
          <w:i/>
          <w:caps w:val="false"/>
          <w:smallCaps w:val="false"/>
          <w:sz w:val="20"/>
        </w:rPr>
        <w:t>Upfront Stock Consideration</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w:t>
      </w:r>
      <w:r>
        <w:rPr>
          <w:rFonts w:ascii="Times New Roman;Times;Serif" w:hAnsi="Times New Roman;Times;Serif"/>
          <w:b w:val="false"/>
          <w:i w:val="false"/>
          <w:caps w:val="false"/>
          <w:smallCaps w:val="false"/>
          <w:sz w:val="20"/>
          <w:u w:val="single"/>
        </w:rPr>
        <w:t>Upfront Stock Consideration</w:t>
      </w:r>
      <w:r>
        <w:rPr>
          <w:rFonts w:ascii="Times New Roman;Times;Serif" w:hAnsi="Times New Roman;Times;Serif"/>
          <w:b w:val="false"/>
          <w:i w:val="false"/>
          <w:caps w:val="false"/>
          <w:smallCaps w:val="false"/>
          <w:sz w:val="20"/>
        </w:rPr>
        <w:t>” means newly issued Purchaser Common Stock with a value corresponding to the Estimated Upfront Consideration adjusted in accordance with Section 1.4, as the case may be, based upon the average of the closing per share price of Purchaser Common Stock for each of the twenty (20) trading days ending on the second (2</w:t>
      </w:r>
      <w:r>
        <w:rPr>
          <w:rFonts w:ascii="Times New Roman;Times;Serif" w:hAnsi="Times New Roman;Times;Serif"/>
          <w:b w:val="false"/>
          <w:i w:val="false"/>
          <w:caps w:val="false"/>
          <w:smallCaps w:val="false"/>
          <w:position w:val="7"/>
          <w:sz w:val="16"/>
          <w:sz w:val="20"/>
        </w:rPr>
        <w:t>nd</w:t>
      </w:r>
      <w:r>
        <w:rPr>
          <w:rFonts w:ascii="Times New Roman;Times;Serif" w:hAnsi="Times New Roman;Times;Serif"/>
          <w:b w:val="false"/>
          <w:i w:val="false"/>
          <w:caps w:val="false"/>
          <w:smallCaps w:val="false"/>
          <w:sz w:val="20"/>
        </w:rPr>
        <w:t>) Business Day prior to the date of this Agreement, but in any circumstance no less than an absolute minimum floor value of $2.00 per Share of Purchaser Common Stock, in each case rounded down to the nearest whole share.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Pre-Closing Statement</w:t>
      </w:r>
      <w:r>
        <w:rPr>
          <w:rFonts w:ascii="Times New Roman;Times;Serif" w:hAnsi="Times New Roman;Times;Serif"/>
          <w:b w:val="false"/>
          <w:i w:val="false"/>
          <w:caps w:val="false"/>
          <w:smallCaps w:val="false"/>
          <w:sz w:val="20"/>
        </w:rPr>
        <w:t>. No later than ten (10) Business Days before the Closing Date, the Company will prepare and the Sellers Representatives will deliver to Purchaser a written notice (the “</w:t>
      </w:r>
      <w:r>
        <w:rPr>
          <w:rFonts w:ascii="Times New Roman;Times;Serif" w:hAnsi="Times New Roman;Times;Serif"/>
          <w:b w:val="false"/>
          <w:i w:val="false"/>
          <w:caps w:val="false"/>
          <w:smallCaps w:val="false"/>
          <w:sz w:val="20"/>
          <w:u w:val="single"/>
        </w:rPr>
        <w:t>Pre-Closing Statement</w:t>
      </w:r>
      <w:r>
        <w:rPr>
          <w:rFonts w:ascii="Times New Roman;Times;Serif" w:hAnsi="Times New Roman;Times;Serif"/>
          <w:b w:val="false"/>
          <w:i w:val="false"/>
          <w:caps w:val="false"/>
          <w:smallCaps w:val="false"/>
          <w:sz w:val="20"/>
        </w:rPr>
        <w:t>”) containing (i) an estimated consolidated balance sheet of the Company as of the Closing Date, calculated in accordance with GAAP and (ii) Company’s good faith estimation of (x) the “</w:t>
      </w:r>
      <w:r>
        <w:rPr>
          <w:rFonts w:ascii="Times New Roman;Times;Serif" w:hAnsi="Times New Roman;Times;Serif"/>
          <w:b w:val="false"/>
          <w:i w:val="false"/>
          <w:caps w:val="false"/>
          <w:smallCaps w:val="false"/>
          <w:sz w:val="20"/>
          <w:u w:val="single"/>
        </w:rPr>
        <w:t>Working Capital</w:t>
      </w:r>
      <w:r>
        <w:rPr>
          <w:rFonts w:ascii="Times New Roman;Times;Serif" w:hAnsi="Times New Roman;Times;Serif"/>
          <w:b w:val="false"/>
          <w:i w:val="false"/>
          <w:caps w:val="false"/>
          <w:smallCaps w:val="false"/>
          <w:sz w:val="20"/>
        </w:rPr>
        <w:t>” (as defined and calculated in Appendix A) of the Company as of the Closing Date (such amount, the “</w:t>
      </w:r>
      <w:r>
        <w:rPr>
          <w:rFonts w:ascii="Times New Roman;Times;Serif" w:hAnsi="Times New Roman;Times;Serif"/>
          <w:b w:val="false"/>
          <w:i w:val="false"/>
          <w:caps w:val="false"/>
          <w:smallCaps w:val="false"/>
          <w:sz w:val="20"/>
          <w:u w:val="single"/>
        </w:rPr>
        <w:t>Estimated Closing Working Capital</w:t>
      </w:r>
      <w:r>
        <w:rPr>
          <w:rFonts w:ascii="Times New Roman;Times;Serif" w:hAnsi="Times New Roman;Times;Serif"/>
          <w:b w:val="false"/>
          <w:i w:val="false"/>
          <w:caps w:val="false"/>
          <w:smallCaps w:val="false"/>
          <w:sz w:val="20"/>
        </w:rPr>
        <w:t>”), (y) the Indebtedness (as defined and calculated in Appendix A) of the Company as of the Closing Date (such amount, the “</w:t>
      </w:r>
      <w:r>
        <w:rPr>
          <w:rFonts w:ascii="Times New Roman;Times;Serif" w:hAnsi="Times New Roman;Times;Serif"/>
          <w:b w:val="false"/>
          <w:i w:val="false"/>
          <w:caps w:val="false"/>
          <w:smallCaps w:val="false"/>
          <w:sz w:val="20"/>
          <w:u w:val="single"/>
        </w:rPr>
        <w:t>Estimated Closing Indebtedness</w:t>
      </w:r>
      <w:r>
        <w:rPr>
          <w:rFonts w:ascii="Times New Roman;Times;Serif" w:hAnsi="Times New Roman;Times;Serif"/>
          <w:b w:val="false"/>
          <w:i w:val="false"/>
          <w:caps w:val="false"/>
          <w:smallCaps w:val="false"/>
          <w:sz w:val="20"/>
        </w:rPr>
        <w:t>”), and therefore (z) the Estimated Upfront Consideration. Purchaser shall have the right to review and approve the Pre-Closing Statement, and if Purchaser objects to any aspect of the Pre-Closing Statement within five (5) Business Days of receipt, the Purchaser and the Sellers Representatives shall negotiate in good faith to resolve such objections prior to Closing. The Company will make available to the Purchaser all relevant books, records and other supporting information reasonably required for Purchaser’s review of the Pre-Closing Statement. The Company will deliver to Purchaser at least five (5) Business Days before the Closing Date, (i) true and correct copies of all invoices of third-party service providers relating to Sellers Transaction Expenses to be paid at the Closing (ii) the allocation of the Upfront Stock Consideration among Sellers.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1.4. </w:t>
      </w:r>
      <w:r>
        <w:rPr>
          <w:rFonts w:ascii="Times New Roman;Times;Serif" w:hAnsi="Times New Roman;Times;Serif"/>
          <w:b w:val="false"/>
          <w:i/>
          <w:caps w:val="false"/>
          <w:smallCaps w:val="false"/>
          <w:sz w:val="20"/>
        </w:rPr>
        <w:t>Upfront Stock Consideration Adjustment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General</w:t>
      </w:r>
      <w:r>
        <w:rPr>
          <w:rFonts w:ascii="Times New Roman;Times;Serif" w:hAnsi="Times New Roman;Times;Serif"/>
          <w:b w:val="false"/>
          <w:i w:val="false"/>
          <w:caps w:val="false"/>
          <w:smallCaps w:val="false"/>
          <w:sz w:val="20"/>
        </w:rPr>
        <w:t>. The Estimated Upfront Consideration will be subject to adjustment in accordance with this Section 1.4.</w:t>
      </w:r>
    </w:p>
    <w:p>
      <w:pPr>
        <w:pStyle w:val="TextBody"/>
        <w:bidi w:val="0"/>
        <w:spacing w:before="0" w:after="0"/>
        <w:ind w:left="0" w:right="0" w:firstLine="1440"/>
        <w:jc w:val="both"/>
        <w:rPr>
          <w:caps w:val="false"/>
          <w:smallCaps w:val="false"/>
        </w:rPr>
      </w:pPr>
      <w:r>
        <w:rPr>
          <w:caps w:val="false"/>
          <w:smallCaps w:val="false"/>
        </w:rPr>
        <w:t>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283"/>
              <w:jc w:val="center"/>
              <w:rPr/>
            </w:pPr>
            <w:r>
              <w:rPr/>
              <w:t>-3-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Preparation of Closing Balance Sheet and Closing Working Capital Amount</w:t>
      </w:r>
      <w:r>
        <w:rPr>
          <w:rFonts w:ascii="Times New Roman;Times;Serif" w:hAnsi="Times New Roman;Times;Serif"/>
          <w:b w:val="false"/>
          <w:i w:val="false"/>
          <w:caps w:val="false"/>
          <w:smallCaps w:val="false"/>
          <w:sz w:val="20"/>
        </w:rPr>
        <w:t>. As promptly as practicable, but not later than one hundred and twenty (120) days after the Closing Date, or such later date as Purchaser and Sellers Representatives agree in writing, Purchaser shall prepare and deliver to the Sellers Representatives a written notice (the “</w:t>
      </w:r>
      <w:r>
        <w:rPr>
          <w:rFonts w:ascii="Times New Roman;Times;Serif" w:hAnsi="Times New Roman;Times;Serif"/>
          <w:b w:val="false"/>
          <w:i w:val="false"/>
          <w:caps w:val="false"/>
          <w:smallCaps w:val="false"/>
          <w:sz w:val="20"/>
          <w:u w:val="single"/>
        </w:rPr>
        <w:t>Closing Adjustment Notice</w:t>
      </w:r>
      <w:r>
        <w:rPr>
          <w:rFonts w:ascii="Times New Roman;Times;Serif" w:hAnsi="Times New Roman;Times;Serif"/>
          <w:b w:val="false"/>
          <w:i w:val="false"/>
          <w:caps w:val="false"/>
          <w:smallCaps w:val="false"/>
          <w:sz w:val="20"/>
        </w:rPr>
        <w:t>”) containing (i) a consolidated balance sheet of the Company as of the Closing Date (the “</w:t>
      </w:r>
      <w:r>
        <w:rPr>
          <w:rFonts w:ascii="Times New Roman;Times;Serif" w:hAnsi="Times New Roman;Times;Serif"/>
          <w:b w:val="false"/>
          <w:i w:val="false"/>
          <w:caps w:val="false"/>
          <w:smallCaps w:val="false"/>
          <w:sz w:val="20"/>
          <w:u w:val="single"/>
        </w:rPr>
        <w:t>Closing Balance Sheet</w:t>
      </w:r>
      <w:r>
        <w:rPr>
          <w:rFonts w:ascii="Times New Roman;Times;Serif" w:hAnsi="Times New Roman;Times;Serif"/>
          <w:b w:val="false"/>
          <w:i w:val="false"/>
          <w:caps w:val="false"/>
          <w:smallCaps w:val="false"/>
          <w:sz w:val="20"/>
        </w:rPr>
        <w:t>”), calculated in accordance with French GAAP; (ii) Purchaser’s calculation of the Working Capital of the Company as of the Closing Date (as defined and calculated in Appendix A) (such amount, the “</w:t>
      </w:r>
      <w:r>
        <w:rPr>
          <w:rFonts w:ascii="Times New Roman;Times;Serif" w:hAnsi="Times New Roman;Times;Serif"/>
          <w:b w:val="false"/>
          <w:i w:val="false"/>
          <w:caps w:val="false"/>
          <w:smallCaps w:val="false"/>
          <w:sz w:val="20"/>
          <w:u w:val="single"/>
        </w:rPr>
        <w:t>Closing Working Capital Amount</w:t>
      </w:r>
      <w:r>
        <w:rPr>
          <w:rFonts w:ascii="Times New Roman;Times;Serif" w:hAnsi="Times New Roman;Times;Serif"/>
          <w:b w:val="false"/>
          <w:i w:val="false"/>
          <w:caps w:val="false"/>
          <w:smallCaps w:val="false"/>
          <w:sz w:val="20"/>
        </w:rPr>
        <w:t xml:space="preserve">”); and (iii) Purchaser’s calculation of Closing Date Indebtedness (as defined and calculated in </w:t>
      </w:r>
      <w:r>
        <w:rPr>
          <w:rFonts w:ascii="Times New Roman;Times;Serif" w:hAnsi="Times New Roman;Times;Serif"/>
          <w:b w:val="false"/>
          <w:i w:val="false"/>
          <w:caps w:val="false"/>
          <w:smallCaps w:val="false"/>
          <w:sz w:val="20"/>
          <w:u w:val="single"/>
        </w:rPr>
        <w:t>Appendix A</w:t>
      </w:r>
      <w:r>
        <w:rPr>
          <w:rFonts w:ascii="Times New Roman;Times;Serif" w:hAnsi="Times New Roman;Times;Serif"/>
          <w:b w:val="false"/>
          <w:i w:val="false"/>
          <w:caps w:val="false"/>
          <w:smallCaps w:val="false"/>
          <w:sz w:val="20"/>
        </w:rPr>
        <w:t>). Together with the Closing Adjustment Notice, Purchaser shall provide the Sellers Representatives with reasonable supporting documentation, including the Purchaser’s financial statements as disclosed to the Securities and Exchange Commission and the calculation workpapers used in the preparation thereof. The Sellers Representatives will have a period of forty-five (45) days (the “</w:t>
      </w:r>
      <w:r>
        <w:rPr>
          <w:rFonts w:ascii="Times New Roman;Times;Serif" w:hAnsi="Times New Roman;Times;Serif"/>
          <w:b w:val="false"/>
          <w:i w:val="false"/>
          <w:caps w:val="false"/>
          <w:smallCaps w:val="false"/>
          <w:sz w:val="20"/>
          <w:u w:val="single"/>
        </w:rPr>
        <w:t>Review Period</w:t>
      </w:r>
      <w:r>
        <w:rPr>
          <w:rFonts w:ascii="Times New Roman;Times;Serif" w:hAnsi="Times New Roman;Times;Serif"/>
          <w:b w:val="false"/>
          <w:i w:val="false"/>
          <w:caps w:val="false"/>
          <w:smallCaps w:val="false"/>
          <w:sz w:val="20"/>
        </w:rPr>
        <w:t>”) following delivery of the Closing Adjustment Notice to review the Closing Balance Sheet, the Closing Working Capital Amount, the Closing Date Indebtedness set forth in the Closing Adjustment Notice. The Sellers Representatives and their accountants may make inquiries to, and receive supporting documentation from, Purchaser, the Company, and their respective accountants and employees regarding questions concerning, or disagreements with, the Closing Balance Sheet, the Closing Working Capital Amount and/or the Closing Date Indebtedness set forth in the Closing Adjustment Notice, arising in the course of their review thereof, provided that such inquiries do not unreasonably interfere with the operations of Purchaser or the Company, and Purchaser shall use, and shall cause the Company to use, Commercially Reasonable Efforts to cause any such accountants and employees to cooperate with and respond to such inquiries as promptly as practicable.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Acceptance by Sellers</w:t>
      </w:r>
      <w:r>
        <w:rPr>
          <w:rFonts w:ascii="Times New Roman;Times;Serif" w:hAnsi="Times New Roman;Times;Serif"/>
          <w:b w:val="false"/>
          <w:i w:val="false"/>
          <w:caps w:val="false"/>
          <w:smallCaps w:val="false"/>
          <w:sz w:val="20"/>
        </w:rPr>
        <w:t>. If (i) at any time during the Review Period, the Sellers Representatives notify Purchaser in writing of their acceptance of Purchaser’s estimate of the Closing Working Capital Amount, or Closing Date Indebtedness, set forth in the Closing Adjustment Notice, or (ii) the Sellers Representatives fail to deliver a timely Objection Notice in accordance with Section 1.4(d), then such Closing Working Capital Amount and/or the Closing Date Indebtedness, as the case may be, as indicated in the Closing Adjustment Notice will be deemed to have been accepted and approved by the Sellers, will be final, binding and conclusive and will be deemed to be the “Final Closing Working Capital Amount” and/or final amounts of the Closing Date Indebtedness, as the case may be, for purposes of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If the Sellers Representatives disagree with Purchaser’s Closing Balance Sheet, Purchaser’s calculation of the Closing Working Capital Amount or of the Closing Date Indebtedness, or the unpaid Sellers Transaction Expenses, as the case may be, set forth in the Closing Adjustment Notice, then prior to the expiration of the Review Period, the Sellers Representatives may deliver a notice to Purchaser disagreeing with such specific calculation and setting forth Sellers’ objection(s) to Purchaser’s calculation of the Closing Balance Sheet, the Closing Working Capital Amount and/or amounts of the Closing Date Indebtedness, as the case may be (an “</w:t>
      </w:r>
      <w:r>
        <w:rPr>
          <w:rFonts w:ascii="Times New Roman;Times;Serif" w:hAnsi="Times New Roman;Times;Serif"/>
          <w:b w:val="false"/>
          <w:i w:val="false"/>
          <w:caps w:val="false"/>
          <w:smallCaps w:val="false"/>
          <w:sz w:val="20"/>
          <w:u w:val="single"/>
        </w:rPr>
        <w:t>Objection Notice</w:t>
      </w:r>
      <w:r>
        <w:rPr>
          <w:rFonts w:ascii="Times New Roman;Times;Serif" w:hAnsi="Times New Roman;Times;Serif"/>
          <w:b w:val="false"/>
          <w:i w:val="false"/>
          <w:caps w:val="false"/>
          <w:smallCaps w:val="false"/>
          <w:sz w:val="20"/>
        </w:rPr>
        <w:t>”). The Objection Notice must specify, (i) in reasonable detail, those items or amounts as to which the Sellers Representatives disagree and the reason(s) for such disagreement(s), together with any supporting documentation available to the Sellers Representatives and (ii) Sellers Representatives’ calculation of the Closing Working Capital Amount and/or amounts of the Closing Date Indebtedness, as the case may be. Any particular amounts or items contained in the Closing Adjustment Notice or the Closing Balance Sheet that are not specifically objected to by the Sellers Representatives in the Objection Notice will be deemed accepted by Sellers and will be final, binding, and conclusive on all Parties and may not be challenged in any subsequent proceeding or dispute. If the Sellers Representatives do not timely deliver an Objection Notice, Purchaser’s calculation of the Closing Working Capital Amount and/or amounts of the Closing Date Indebtedness, as the case may be, in the Closing Adjustment Notice will be deemed final, binding, and conclusive on all Parties.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Dispute Resolution</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If the Sellers Representatives deliver a timely Objection Notice in accordance with Section 1.4(d), Purchaser and the Sellers Representatives shall, during the thirty (30) days following such delivery, use Commercially Reasonable Efforts to reach agreement on the disputed items or amounts in order to determine a mutually agreeable Closing Balance Sheet, Closing Working Capital Amount and/or the Closing Date Indebtedness, as the case may be. If, during such period, Purchaser and the Sellers Representatives agree as to the Closing Working Capital Amount and/or the Closing Date Indebtedness, as the case may be, then Purchaser and the Sellers Representatives shall execute a written acknowledgement of such amount and the Closing Working Capital Amount and/or the Closing Date Indebtedness, as the case may be, so agreed upon will be final, binding and conclusive and will be deemed to be the “Final Closing Working Capital Amount” and/or final Closing Date Indebtedness, as the case may be, for purposes of this Agreement. If, during such period, Purchaser and the Sellers Representatives are unable to reach agreement, then the disputed items will be resolved by an independent accounting firm of recognized national standing mutually acceptable to Purchaser and the Sellers Representatives (the “</w:t>
      </w:r>
      <w:r>
        <w:rPr>
          <w:rFonts w:ascii="Times New Roman;Times;Serif" w:hAnsi="Times New Roman;Times;Serif"/>
          <w:b w:val="false"/>
          <w:i w:val="false"/>
          <w:caps w:val="false"/>
          <w:smallCaps w:val="false"/>
          <w:sz w:val="20"/>
          <w:u w:val="single"/>
        </w:rPr>
        <w:t>Accountant</w:t>
      </w:r>
      <w:r>
        <w:rPr>
          <w:rFonts w:ascii="Times New Roman;Times;Serif" w:hAnsi="Times New Roman;Times;Serif"/>
          <w:b w:val="false"/>
          <w:i w:val="false"/>
          <w:caps w:val="false"/>
          <w:smallCaps w:val="false"/>
          <w:sz w:val="20"/>
        </w:rPr>
        <w:t>”). If the Purchaser and the Sellers Representatives cannot agree on an Accountant within 10 Business Days, each of them shall select an independent accounting firm, and those two firms shall jointly select a third independent accounting firm to serve as the Accountant.</w:t>
      </w:r>
    </w:p>
    <w:p>
      <w:pPr>
        <w:pStyle w:val="TextBody"/>
        <w:bidi w:val="0"/>
        <w:spacing w:before="0" w:after="0"/>
        <w:ind w:left="0" w:right="0" w:firstLine="2160"/>
        <w:jc w:val="both"/>
        <w:rPr>
          <w:caps w:val="false"/>
          <w:smallCaps w:val="false"/>
        </w:rPr>
      </w:pPr>
      <w:r>
        <w:rPr>
          <w:caps w:val="false"/>
          <w:smallCaps w:val="false"/>
        </w:rPr>
        <w:t>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283"/>
              <w:jc w:val="center"/>
              <w:rPr/>
            </w:pPr>
            <w:r>
              <w:rPr/>
              <w:t>-4-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Within twenty (20) days of the retention of the Accountant, Purchaser and the Sellers Representatives shall jointly submit the matter to the Accountant and instruct the Accountant that it: (A) will act as an expert in accounting, and not as an arbitrator, to resolve, in accordance with GAAP as utilized by the Purchaser and the Sellers Representatives in preparing the Closing Working Capital Amount or Closing Date Indebtedness, as the case may be, and in a manner consistent with the provisions of this Agreement, only the matters specified in the Objection Notice that remain in dispute; (B) shall adjust the calculation of Closing Working Capital Amount and/or amounts of the Closing Date Indebtedness, as the case may be, based thereon to reflect such resolution; (C) may not determine an amount of the Closing Working Capital Amount or Closing Date Indebtedness, as the case may be, in excess of the higher of the amounts claimed by the Sellers Representatives or Purchaser or less than the lower of the amounts claimed by the Sellers Representatives or Purchaser; (D) shall deliver to the Purchaser and the Sellers Representatives, as promptly as practicable and in any event within sixty (60) days following the submission of the matters that remain in dispute to the Accountant for resolution, a written report setting forth the Accountant’s determination of the Closing Working Capital Amount and/or amounts of the Closing Date Indebtedness, as the case may be, and the calculations thereof; and (E) may not engage in ex parte communications with either Purchaser or its Representatives, on the one hand, or the Sellers Representatives or their Representatives, on the other hand, without the other party’s express written consent. Purchaser and the Sellers Representatives each will have the right to submit written information to the Accountant in support of their respective positions, provided that, when doing so, it provides a copy of such written information to the other Party as well as the Accountant. The Parties acknowledge and agree that if any dispute is submitted to the Accountant pursuant to this Section 1.4(e), the Closing Working Capital Amount and/or the Closing Date Indebtedness, as the case may be, determined by the Accountant will be final, binding and conclusive (except in case of fraud or gross negligence) and will be deemed to be the “Final Closing Working Capital Amount” and/or final amounts of the Closing Date Indebtedness, as the case may be, for purposes of this Agreement.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cost of such review and report will be borne by Purchaser and the Sellers in inverse proportion to their respective success in the dispute, such that the Party whose calculation is furthest from the Accountant’s determination bears a proportionally greater share of the costs. If the Accountant’s determination is within 5% of Purchaser’s calculation, the Sellers shall bear 100% of the costs. Any retainer charged by the Accountant will be paid 50% by Purchaser and 50% by the Sellers, with such amount to be reimbursed by the Party responsible for paying the cost of the review in accordance with the immediately preceding sentence.</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Adjustment to Upfront Estimated Consideration</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Closing Working Capital. If the Final Closing Working Capital Amount, as determined pursuant to this Section 1.4, is:</w:t>
      </w:r>
    </w:p>
    <w:p>
      <w:pPr>
        <w:pStyle w:val="TextBody"/>
        <w:bidi w:val="0"/>
        <w:spacing w:before="0" w:after="0"/>
        <w:ind w:left="0" w:right="0" w:firstLine="21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43"/>
        <w:gridCol w:w="9887"/>
      </w:tblGrid>
      <w:tr>
        <w:trPr/>
        <w:tc>
          <w:tcPr>
            <w:tcW w:w="75"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243" w:type="dxa"/>
            <w:tcBorders/>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887" w:type="dxa"/>
            <w:tcBorders/>
            <w:vAlign w:val="center"/>
          </w:tcPr>
          <w:p>
            <w:pPr>
              <w:pStyle w:val="TableContents"/>
              <w:bidi w:val="0"/>
              <w:spacing w:before="0" w:after="283"/>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higher negative amount, if the Working Capital amount is negative, than the Estimated Closing Working Capital by $[***] or more, then Purchaser shall have the right to offset such shortfall amount from any Earnout Consideration; or</w:t>
            </w:r>
          </w:p>
        </w:tc>
      </w:tr>
      <w:tr>
        <w:trPr/>
        <w:tc>
          <w:tcPr>
            <w:tcW w:w="75"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243"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9887" w:type="dxa"/>
            <w:tcBorders/>
            <w:vAlign w:val="center"/>
          </w:tcPr>
          <w:p>
            <w:pPr>
              <w:pStyle w:val="TableContents"/>
              <w:bidi w:val="0"/>
              <w:spacing w:before="0" w:after="283"/>
              <w:ind w:left="0" w:right="0" w:hanging="0"/>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243" w:type="dxa"/>
            <w:tcBorders/>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887" w:type="dxa"/>
            <w:tcBorders/>
            <w:vAlign w:val="center"/>
          </w:tcPr>
          <w:p>
            <w:pPr>
              <w:pStyle w:val="TableContents"/>
              <w:bidi w:val="0"/>
              <w:spacing w:before="0" w:after="283"/>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equal to the Estimated Closing Working Capital (within a range of less than $[***] above or below), then there will be no adjustment; or</w:t>
            </w:r>
          </w:p>
        </w:tc>
      </w:tr>
      <w:tr>
        <w:trPr/>
        <w:tc>
          <w:tcPr>
            <w:tcW w:w="75"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243"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9887" w:type="dxa"/>
            <w:tcBorders/>
            <w:vAlign w:val="center"/>
          </w:tcPr>
          <w:p>
            <w:pPr>
              <w:pStyle w:val="TableContents"/>
              <w:bidi w:val="0"/>
              <w:spacing w:before="0" w:after="283"/>
              <w:ind w:left="0" w:right="0" w:hanging="0"/>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243" w:type="dxa"/>
            <w:tcBorders/>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8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lower negative amount, if the Working Capital amount is negative, than the Estimated Closing Working Capital by at least $[***], then the Purchaser shall add such amount to the next Earnout Consideration.</w:t>
            </w:r>
          </w:p>
        </w:tc>
      </w:tr>
    </w:tbl>
    <w:p>
      <w:pPr>
        <w:pStyle w:val="TextBody"/>
        <w:bidi w:val="0"/>
        <w:spacing w:before="0" w:after="0"/>
        <w:ind w:left="3250" w:right="0" w:hanging="370"/>
        <w:jc w:val="both"/>
        <w:rPr>
          <w:caps w:val="false"/>
          <w:smallCaps w:val="false"/>
        </w:rPr>
      </w:pPr>
      <w:r>
        <w:rPr>
          <w:caps w:val="false"/>
          <w:smallCaps w:val="false"/>
        </w:rPr>
        <w:t>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283"/>
              <w:jc w:val="center"/>
              <w:rPr/>
            </w:pPr>
            <w:r>
              <w:rPr/>
              <w:t>-5-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Closing Date Indebtedness. If the final amount of the Closing Date Indebtedness, as determined pursuant to this Section 1.4, is</w:t>
      </w:r>
    </w:p>
    <w:p>
      <w:pPr>
        <w:pStyle w:val="TextBody"/>
        <w:bidi w:val="0"/>
        <w:spacing w:before="0" w:after="0"/>
        <w:ind w:left="0" w:right="0" w:firstLine="21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55"/>
        <w:gridCol w:w="9875"/>
      </w:tblGrid>
      <w:tr>
        <w:trPr/>
        <w:tc>
          <w:tcPr>
            <w:tcW w:w="75"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255" w:type="dxa"/>
            <w:tcBorders/>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875" w:type="dxa"/>
            <w:tcBorders/>
            <w:vAlign w:val="center"/>
          </w:tcPr>
          <w:p>
            <w:pPr>
              <w:pStyle w:val="TableContents"/>
              <w:bidi w:val="0"/>
              <w:spacing w:before="0" w:after="283"/>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greater than the Estimated Closing Indebtedness, by $[***] or more, then Purchaser shall have the right to offset such shortfall amounts from any Earnout Consideration; or</w:t>
            </w:r>
          </w:p>
        </w:tc>
      </w:tr>
      <w:tr>
        <w:trPr/>
        <w:tc>
          <w:tcPr>
            <w:tcW w:w="75"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255"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9875" w:type="dxa"/>
            <w:tcBorders/>
            <w:vAlign w:val="center"/>
          </w:tcPr>
          <w:p>
            <w:pPr>
              <w:pStyle w:val="TableContents"/>
              <w:bidi w:val="0"/>
              <w:spacing w:before="0" w:after="283"/>
              <w:ind w:left="0" w:right="0" w:hanging="0"/>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255" w:type="dxa"/>
            <w:tcBorders/>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875" w:type="dxa"/>
            <w:tcBorders/>
            <w:vAlign w:val="center"/>
          </w:tcPr>
          <w:p>
            <w:pPr>
              <w:pStyle w:val="TableContents"/>
              <w:bidi w:val="0"/>
              <w:spacing w:before="0" w:after="283"/>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equal to the Estimated Closing Indebtedness (within a range of less than $[***] above or below), then there will be no adjustment; or</w:t>
            </w:r>
          </w:p>
        </w:tc>
      </w:tr>
      <w:tr>
        <w:trPr/>
        <w:tc>
          <w:tcPr>
            <w:tcW w:w="75"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255"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9875" w:type="dxa"/>
            <w:tcBorders/>
            <w:vAlign w:val="center"/>
          </w:tcPr>
          <w:p>
            <w:pPr>
              <w:pStyle w:val="TableContents"/>
              <w:bidi w:val="0"/>
              <w:spacing w:before="0" w:after="283"/>
              <w:ind w:left="0" w:right="0" w:hanging="0"/>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255" w:type="dxa"/>
            <w:tcBorders/>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8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lower than the Estimated Closing Indebtedness, by $[***] or more, then the Purchaser shall add such amount to the next Earnout Consideration payment.</w:t>
            </w:r>
          </w:p>
        </w:tc>
      </w:tr>
    </w:tbl>
    <w:p>
      <w:pPr>
        <w:pStyle w:val="TextBody"/>
        <w:bidi w:val="0"/>
        <w:spacing w:before="0" w:after="0"/>
        <w:ind w:left="3250" w:right="0" w:hanging="37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val="false"/>
          <w:caps w:val="false"/>
          <w:smallCaps w:val="false"/>
          <w:sz w:val="20"/>
          <w:u w:val="single"/>
        </w:rPr>
        <w:t>Cooperation</w:t>
      </w:r>
      <w:r>
        <w:rPr>
          <w:rFonts w:ascii="Times New Roman;Times;Serif" w:hAnsi="Times New Roman;Times;Serif"/>
          <w:b w:val="false"/>
          <w:i w:val="false"/>
          <w:caps w:val="false"/>
          <w:smallCaps w:val="false"/>
          <w:sz w:val="20"/>
        </w:rPr>
        <w:t>. Each of Purchaser, Company, and the Sellers Representatives will, and will use their respective Commercially Reasonable Efforts to cause their respective accountants to, cooperate and assist as requested in the preparation of the Closing Balance Sheet and the calculation (including the estimates) of the Closing Working Capital Amount, the Final Closing Working Capital Amount, Closing Date Indebtedness, by the other Party and the Accountant, including the making available to the extent necessary of books, records, work papers, and personnel.</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1.5. </w:t>
      </w:r>
      <w:r>
        <w:rPr>
          <w:rFonts w:ascii="Times New Roman;Times;Serif" w:hAnsi="Times New Roman;Times;Serif"/>
          <w:b w:val="false"/>
          <w:i/>
          <w:caps w:val="false"/>
          <w:smallCaps w:val="false"/>
          <w:sz w:val="20"/>
        </w:rPr>
        <w:t>Earn-out Considerations.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Regulatory Milestone Consideration</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If the Regulatory Milestone is achieved on or before the end of the Regulatory Milestone Period in accordance with the terms and limitations applicable to such Regulatory Milestone, the Purchaser shall pay to the Sellers the Regulatory Milestone Consideration; provided, however, that if a Seller is in material breach of any representation made pursuant to Article IV or material obligation under this Agreement which has not been cured prior to the Regulatory Earnout Payment Date, Purchaser shall be entitled to retain from the Regulatory Milestone Consideration an amount equal to the Damages reasonably estimated by the Purchaser as resulting from such breach in accordance with Article VIII and, when definitively settled in accordance with Article VIII, Purchaser may offset such Damages against the Regulatory Milestone Consideration. The payment of the Regulatory Milestone Consideration can be made in cash or Purchaser Common Stock, at the Purchaser’s sole discretion, or in a combination of cash and Purchaser Common Stock. In the event of a combination of cash and Purchaser Common Stock, Sellers agree that the allocation of cash and Purchaser Common Stock shall be made pro rata the proceeds to be received in accordance with the Consideration Allocation Spreadsheet.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Within eight (8) Business Days of written receipt by Purchaser, the Company, or any of their respective Affiliates, of FDA Regulatory Approval (the “</w:t>
      </w:r>
      <w:r>
        <w:rPr>
          <w:rFonts w:ascii="Times New Roman;Times;Serif" w:hAnsi="Times New Roman;Times;Serif"/>
          <w:b w:val="false"/>
          <w:i w:val="false"/>
          <w:caps w:val="false"/>
          <w:smallCaps w:val="false"/>
          <w:sz w:val="20"/>
          <w:u w:val="single"/>
        </w:rPr>
        <w:t>Regulatory Earnout Notice Date</w:t>
      </w:r>
      <w:r>
        <w:rPr>
          <w:rFonts w:ascii="Times New Roman;Times;Serif" w:hAnsi="Times New Roman;Times;Serif"/>
          <w:b w:val="false"/>
          <w:i w:val="false"/>
          <w:caps w:val="false"/>
          <w:smallCaps w:val="false"/>
          <w:sz w:val="20"/>
        </w:rPr>
        <w:t>”), Purchaser shall deliver to the Sellers Representatives a written statement advising of such approval. Within twenty (20) Business Days thereafter (the “</w:t>
      </w:r>
      <w:r>
        <w:rPr>
          <w:rFonts w:ascii="Times New Roman;Times;Serif" w:hAnsi="Times New Roman;Times;Serif"/>
          <w:b w:val="false"/>
          <w:i w:val="false"/>
          <w:caps w:val="false"/>
          <w:smallCaps w:val="false"/>
          <w:sz w:val="20"/>
          <w:u w:val="single"/>
        </w:rPr>
        <w:t>Regulatory Earnout Payment Date</w:t>
      </w:r>
      <w:r>
        <w:rPr>
          <w:rFonts w:ascii="Times New Roman;Times;Serif" w:hAnsi="Times New Roman;Times;Serif"/>
          <w:b w:val="false"/>
          <w:i w:val="false"/>
          <w:caps w:val="false"/>
          <w:smallCaps w:val="false"/>
          <w:sz w:val="20"/>
        </w:rPr>
        <w:t>”), Purchaser shall deliver, or cause to be delivered, the Regulatory Milestone Consideration to the Sellers, at Purchaser’s election by (i) cash via wire transfer of immediately available funds to the Sellers Bank Account, and/or subject to the Share Cap (ii) issuance of Purchaser Common Stock, with the value thereof based on the average closing per share price of Purchaser Common Stock for each of the five (5) trading days ending on the second (2</w:t>
      </w:r>
      <w:r>
        <w:rPr>
          <w:rFonts w:ascii="Times New Roman;Times;Serif" w:hAnsi="Times New Roman;Times;Serif"/>
          <w:b w:val="false"/>
          <w:i w:val="false"/>
          <w:caps w:val="false"/>
          <w:smallCaps w:val="false"/>
          <w:position w:val="7"/>
          <w:sz w:val="16"/>
          <w:sz w:val="20"/>
        </w:rPr>
        <w:t>nd</w:t>
      </w:r>
      <w:r>
        <w:rPr>
          <w:rFonts w:ascii="Times New Roman;Times;Serif" w:hAnsi="Times New Roman;Times;Serif"/>
          <w:b w:val="false"/>
          <w:i w:val="false"/>
          <w:caps w:val="false"/>
          <w:smallCaps w:val="false"/>
          <w:sz w:val="20"/>
        </w:rPr>
        <w:t>) Business Day prior to the Regulatory Earnout Payment Date, rounded down to the nearest whole share, or (iii) any combination thereof.</w:t>
      </w:r>
    </w:p>
    <w:p>
      <w:pPr>
        <w:pStyle w:val="TextBody"/>
        <w:bidi w:val="0"/>
        <w:spacing w:before="0" w:after="0"/>
        <w:ind w:left="0" w:right="0" w:firstLine="2160"/>
        <w:jc w:val="both"/>
        <w:rPr>
          <w:caps w:val="false"/>
          <w:smallCaps w:val="false"/>
        </w:rPr>
      </w:pPr>
      <w:r>
        <w:rPr>
          <w:caps w:val="false"/>
          <w:smallCaps w:val="false"/>
        </w:rPr>
        <w:t>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283"/>
              <w:jc w:val="center"/>
              <w:rPr/>
            </w:pPr>
            <w:r>
              <w:rPr/>
              <w:t>-6-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If the Purchaser decides to pay any portion of the Regulatory Milestone Consideration in Purchaser Common Stock, the Purchaser shall inform the Sellers Representatives in the Regulatory Earnout Notice Date of its decision.</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On or prior to the Regulatory Earnout Payment Date, and to the extent such Regulatory Milestone Consideration is not paid in cash, the Purchaser shall deliver an instruction letter to Purchaser’s transfer agent, with a copy delivered to the Sellers Representatives, directing the Purchaser’s transfer agent to deliver each Seller’s portion of the Regulatory Milestone Consideration allocated to each Seller in accordance with the applicable portion of the Consideration Allocation Spreadsheet (as defined below) by restricted book entry at Purchaser’s transfer agent into segregated accounts established by such transfer agent for the benefit of, and registered in the name of the Sellers (such establishment to occur no less than two (2) Business Days prior to the date of delivery of such Purchaser Common Stock).</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In accordance with and subject to the limitation provided by Section 1.2 (c), at the Regulatory Earnout Payment Date, the Purchaser shall, on behalf of the Sellers and in discharge of the Sellers’ obligation to pay the applicable Sellers Transaction Expenses, pay or cause to be paid the Sellers Transaction Expenses directly to the relevant service providers, to their respective bank accounts as set forth in the Consideration Allocation Spreadsheet, by wire transfer of immediately available funds or in Purchaser Common Stock. The amounts so paid by the Purchaser on behalf of the Sellers shall reduce, on a dollar-for-dollar basis, the Regulatory Milestone Consideration payable to the Sellers in accordance with the Consideration Allocation Spreadsheet. For the avoidance of doubt, the payment by the Purchaser of the Sellers Transaction Expenses pursuant to this Section 1.5(a) shall constitute a payment on behalf of, and for the account of, the Sellers and shall not increase the Purchase Price or give rise to any additional obligation of the Purchaser. For the avoidance of doubt, the Purchaser shall not pay any Sellers Transaction Expenses in the event where no Regulatory Milestone Consideration is payable pursuant to this Agreement.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Commercial Milestones Consideration</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With respect to each of the Commercial Milestones that is achieved on or before the end of the applicable Commercial Milestone Period in accordance with the terms and limitations applicable to such Commercial Milestone, the Purchaser shall pay to the Sellers the applicable Commercial Milestone Consideration; provided, however, that if a Seller is in material breach of any representation made pursuant to Article IV or material obligation under this Agreement which has not been cured by the Commercial Earnout Payment Date, Purchaser shall be entitled to retain from the applicable Commercial Milestone Consideration an amount equal to the Damages reasonably estimated by the Purchaser as resulting from such breach in accordance with Article VIII and, when definitively settled in accordance with Article VIII, Purchaser may offset such Damages against the applicable Commercial Milestone Consideration. The payment of the applicable Commercial Milestone Consideration can be made in cash or Purchaser Common Stock, at the Purchaser’s sole discretion, or in a combination of cash and Purchaser Common Stock. In the event of a combination of cash and Purchaser Common Stock, Sellers agree that the allocation of cash and Purchaser Common Stock shall be made pro rata the proceeds to be received in accordance with the Consideration Allocation Spreadsheet.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Within 45 calendar days following the end of each calendar quarter (to be extended to 75 calendar days for the last quarter of year), Purchaser shall assess whether the relevant Commercial Milestone has been achieved and communicate information to the Sellers Representatives, upon request, regarding level of achievement of the Commercial Milestones based on the Company, the Purchaser and any of its Affiliates sales records (subject to compliance with applicable securities laws). As soon as reasonably practicable after a Commercial Milestone has been met and in any event no later than within 45 calendar days following the end of the calendar quarter during which a Commercial Milestone has been achieved (to be extended to 75 calendar days for the last quarter of year), the Purchaser shall deliver to the Sellers Representatives a written statement (each a “</w:t>
      </w:r>
      <w:r>
        <w:rPr>
          <w:rFonts w:ascii="Times New Roman;Times;Serif" w:hAnsi="Times New Roman;Times;Serif"/>
          <w:b w:val="false"/>
          <w:i w:val="false"/>
          <w:caps w:val="false"/>
          <w:smallCaps w:val="false"/>
          <w:sz w:val="20"/>
          <w:u w:val="single"/>
        </w:rPr>
        <w:t>Commercial Milestone Notice</w:t>
      </w:r>
      <w:r>
        <w:rPr>
          <w:rFonts w:ascii="Times New Roman;Times;Serif" w:hAnsi="Times New Roman;Times;Serif"/>
          <w:b w:val="false"/>
          <w:i w:val="false"/>
          <w:caps w:val="false"/>
          <w:smallCaps w:val="false"/>
          <w:sz w:val="20"/>
        </w:rPr>
        <w:t>”) setting forth in reasonable detail, Purchaser’s determination as to the achievement of an applicable Commercial Milestone, together with reasonable supporting documentation.</w:t>
      </w:r>
    </w:p>
    <w:p>
      <w:pPr>
        <w:pStyle w:val="TextBody"/>
        <w:bidi w:val="0"/>
        <w:spacing w:before="0" w:after="0"/>
        <w:ind w:left="0" w:right="0" w:firstLine="2160"/>
        <w:jc w:val="both"/>
        <w:rPr>
          <w:caps w:val="false"/>
          <w:smallCaps w:val="false"/>
        </w:rPr>
      </w:pPr>
      <w:r>
        <w:rPr>
          <w:caps w:val="false"/>
          <w:smallCaps w:val="false"/>
        </w:rPr>
        <w:t>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283"/>
              <w:jc w:val="center"/>
              <w:rPr/>
            </w:pPr>
            <w:r>
              <w:rPr/>
              <w:t>-7-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Purchaser shall deliver, or cause to be delivered, within ten (10) Business Days thereafter (the “</w:t>
      </w:r>
      <w:r>
        <w:rPr>
          <w:rFonts w:ascii="Times New Roman;Times;Serif" w:hAnsi="Times New Roman;Times;Serif"/>
          <w:b w:val="false"/>
          <w:i w:val="false"/>
          <w:caps w:val="false"/>
          <w:smallCaps w:val="false"/>
          <w:sz w:val="20"/>
          <w:u w:val="single"/>
        </w:rPr>
        <w:t>Commercial Earnout Payment Date</w:t>
      </w:r>
      <w:r>
        <w:rPr>
          <w:rFonts w:ascii="Times New Roman;Times;Serif" w:hAnsi="Times New Roman;Times;Serif"/>
          <w:b w:val="false"/>
          <w:i w:val="false"/>
          <w:caps w:val="false"/>
          <w:smallCaps w:val="false"/>
          <w:sz w:val="20"/>
        </w:rPr>
        <w:t>”), the applicable Commercial Milestone Consideration to Sellers by, at Purchaser’s election, (i) cash via wire transfer of immediately available funds to the Sellers Bank Account, and/or subject to the Share Cap (ii) issuance of Purchaser Common Stock, with the value thereof based on the average closing per share price of Purchaser Common Stock for each of the five (5) trading days ending on the second (2</w:t>
      </w:r>
      <w:r>
        <w:rPr>
          <w:rFonts w:ascii="Times New Roman;Times;Serif" w:hAnsi="Times New Roman;Times;Serif"/>
          <w:b w:val="false"/>
          <w:i w:val="false"/>
          <w:caps w:val="false"/>
          <w:smallCaps w:val="false"/>
          <w:position w:val="7"/>
          <w:sz w:val="16"/>
          <w:sz w:val="20"/>
        </w:rPr>
        <w:t>nd</w:t>
      </w:r>
      <w:r>
        <w:rPr>
          <w:rFonts w:ascii="Times New Roman;Times;Serif" w:hAnsi="Times New Roman;Times;Serif"/>
          <w:b w:val="false"/>
          <w:i w:val="false"/>
          <w:caps w:val="false"/>
          <w:smallCaps w:val="false"/>
          <w:sz w:val="20"/>
        </w:rPr>
        <w:t>) Business Day prior to the Commercial Earnout Payment Date, rounded down to the nearest whole share, or (iii) any combination thereof. In the event of a combination of cash and Purchaser Common Stock, Sellers agree that the allocation of cash and Purchaser Common Stock shall be made pro rata the proceeds to be received in accordance with the Consideration Allocation Spreadsheet.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If the Purchaser decides to pay a Commercial Milestone Consideration in Purchaser Common Stock or a portion of a Commercial Milestone Consideration in Purchaser Common Stock, the Purchaser shall inform the Sellers Representatives accordingly in the Commercial Milestone Notice.</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On or prior to the Commercial Earnout Payment Date, and to the extent such Commercial Milestone Consideration is not paid in cash, the Purchaser shall deliver an instruction letter to Purchaser’s transfer agent, with a copy delivered to the Sellers Representatives, directing the Purchaser’s transfer agent to deliver each Seller’s portion of the Commercial Milestone Consideration allocated to each Seller in accordance with the applicable portion of the Consideration Allocation Spreadsheet by restricted book entry at Purchaser’s transfer agent into segregated accounts established by such transfer agent for the benefit of, and registered in the name of the Sellers (such establishment to occur no less than two Business Days prior to the date of delivery of such Purchaser Common Stock).</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In accordance with and subject to the limitation provided by Section 1.2(c), at the Commercial Earnout Payment Date, the Purchaser shall, on behalf of the Sellers and in discharge of the Sellers’ obligation to pay the applicable Sellers Transaction Expenses, pay or cause to be paid the Sellers Transaction Expenses directly to the relevant service providers, to their respective bank accounts as set forth in the Consideration Allocation Spreadsheet, by wire transfer of immediately available funds or in Purchaser Common Stock. The amounts so paid by the Purchaser on behalf of the Sellers shall reduce, on a dollar-for-dollar basis, the applicable Commercial Milestone Consideration payable to the Sellers in accordance with the Consideration Allocation Spreadsheet. For the avoidance of doubt, the payment by the Purchaser of the Sellers Transaction Expenses pursuant to this Section 1.5(b) shall constitute a payment on behalf of, and for the account of, the Sellers and shall not increase the Purchase Price or give rise to any additional obligation of the Purchaser. Any service provider entitled to receive payment of Sellers Transaction Expenses as part of the Commercial Milestone Consideration shall receive such payment on a pari passu basis with the payments made to the Sellers, such that the proportion of cash and Purchaser Common Stock used to pay such service provider’s fees shall mirror that applicable to the Sellers pursuant to the Consideration Allocation Spreadsheet. For the avoidance of doubt, the Purchaser shall not pay any Sellers Transaction Expenses in the event where no Commercial Milestones Consideration is payable pursuant to this Agreement.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For purposes of calculating achievement of any Commercial Milestone, R-Two Product shall include only the R-Two Product as developed by the Company as of the Closing Date, and shall not include any subsequent products developed by Purchaser, Company, or any of their respective Affiliates unless such products qualifies as Successor Products (in which case they shall be included in the calculation of the Commercial Milestones).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Purchaser covenants.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Closing, Purchaser covenants and agrees that it shall, and shall procure that its Affiliates (including the Company post-Closing) use Commercially Reasonable Efforts to complete the development of R-Two Products in Europe and in the US, including product development, manufacturing, clinical and regulatory Commercially Reasonable Efforts to obtain FDA Regulatory Approval and Regulatory Authorization in Europe.</w:t>
      </w:r>
    </w:p>
    <w:p>
      <w:pPr>
        <w:pStyle w:val="TextBody"/>
        <w:bidi w:val="0"/>
        <w:spacing w:before="0" w:after="0"/>
        <w:ind w:left="0" w:right="0" w:hanging="0"/>
        <w:jc w:val="both"/>
        <w:rPr>
          <w:caps w:val="false"/>
          <w:smallCaps w:val="false"/>
        </w:rPr>
      </w:pPr>
      <w:r>
        <w:rPr>
          <w:caps w:val="false"/>
          <w:smallCaps w:val="false"/>
        </w:rPr>
        <w:t>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283"/>
              <w:jc w:val="center"/>
              <w:rPr/>
            </w:pPr>
            <w:r>
              <w:rPr/>
              <w:t>-8-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As from Closing, Purchaser shall use Commercially Reasonable Efforts to:</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 </w:t>
      </w:r>
      <w:r>
        <w:rPr>
          <w:rFonts w:ascii="Times New Roman;Times;Serif" w:hAnsi="Times New Roman;Times;Serif"/>
          <w:b w:val="false"/>
          <w:i w:val="false"/>
          <w:caps w:val="false"/>
          <w:smallCaps w:val="false"/>
          <w:sz w:val="20"/>
        </w:rPr>
        <w:t>complete any required Pivotal Clinical Study for R-Two Products;</w:t>
      </w:r>
    </w:p>
    <w:p>
      <w:pPr>
        <w:pStyle w:val="TextBody"/>
        <w:bidi w:val="0"/>
        <w:spacing w:before="0" w:after="0"/>
        <w:ind w:left="0" w:right="0" w:firstLine="2880"/>
        <w:jc w:val="both"/>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(2) </w:t>
      </w:r>
      <w:r>
        <w:rPr>
          <w:rFonts w:ascii="Times New Roman;Times;Serif" w:hAnsi="Times New Roman;Times;Serif"/>
          <w:b w:val="false"/>
          <w:i w:val="false"/>
          <w:caps w:val="false"/>
          <w:smallCaps w:val="false"/>
          <w:sz w:val="20"/>
        </w:rPr>
        <w:t>seek the Regulatory Authorization required for commercialization of the R-Two Products in each of the United States, the European Union and</w:t>
      </w:r>
    </w:p>
    <w:p>
      <w:pPr>
        <w:pStyle w:val="TextBody"/>
        <w:bidi w:val="0"/>
        <w:spacing w:before="0" w:after="0"/>
        <w:ind w:left="0" w:right="0" w:firstLine="2880"/>
        <w:jc w:val="both"/>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(3) </w:t>
      </w:r>
      <w:r>
        <w:rPr>
          <w:rFonts w:ascii="Times New Roman;Times;Serif" w:hAnsi="Times New Roman;Times;Serif"/>
          <w:b w:val="false"/>
          <w:i w:val="false"/>
          <w:caps w:val="false"/>
          <w:smallCaps w:val="false"/>
          <w:sz w:val="20"/>
        </w:rPr>
        <w:t>subject to obtaining such Regulatory Authorization in a given territory, commercialize the R-Two Products in such territory either directly or indirectly.</w:t>
      </w:r>
    </w:p>
    <w:p>
      <w:pPr>
        <w:pStyle w:val="TextBody"/>
        <w:bidi w:val="0"/>
        <w:spacing w:before="0" w:after="0"/>
        <w:ind w:left="0" w:right="0" w:firstLine="288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Purchaser shall use Commercially Reasonable Efforts to ensure that Company’s employees necessary to achieve the Regulatory Milestone and/or Commercial Milestones shall:</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 </w:t>
      </w:r>
      <w:r>
        <w:rPr>
          <w:rFonts w:ascii="Times New Roman;Times;Serif" w:hAnsi="Times New Roman;Times;Serif"/>
          <w:b w:val="false"/>
          <w:i w:val="false"/>
          <w:caps w:val="false"/>
          <w:smallCaps w:val="false"/>
          <w:sz w:val="20"/>
        </w:rPr>
        <w:t>remain employed by the Company or its Affiliates (or remain in service as independent contractors or consultants, as the case may be);</w:t>
      </w:r>
    </w:p>
    <w:p>
      <w:pPr>
        <w:pStyle w:val="TextBody"/>
        <w:bidi w:val="0"/>
        <w:spacing w:before="0" w:after="0"/>
        <w:ind w:left="0" w:right="0" w:firstLine="2880"/>
        <w:jc w:val="both"/>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(2) </w:t>
      </w:r>
      <w:r>
        <w:rPr>
          <w:rFonts w:ascii="Times New Roman;Times;Serif" w:hAnsi="Times New Roman;Times;Serif"/>
          <w:b w:val="false"/>
          <w:i w:val="false"/>
          <w:caps w:val="false"/>
          <w:smallCaps w:val="false"/>
          <w:sz w:val="20"/>
        </w:rPr>
        <w:t>have adequate means, resources, and support to perform their duties effectively; and</w:t>
      </w:r>
    </w:p>
    <w:p>
      <w:pPr>
        <w:pStyle w:val="TextBody"/>
        <w:bidi w:val="0"/>
        <w:spacing w:before="0" w:after="0"/>
        <w:ind w:left="0" w:right="0" w:firstLine="2880"/>
        <w:jc w:val="both"/>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(3) </w:t>
      </w:r>
      <w:r>
        <w:rPr>
          <w:rFonts w:ascii="Times New Roman;Times;Serif" w:hAnsi="Times New Roman;Times;Serif"/>
          <w:b w:val="false"/>
          <w:i w:val="false"/>
          <w:caps w:val="false"/>
          <w:smallCaps w:val="false"/>
          <w:sz w:val="20"/>
        </w:rPr>
        <w:t>retain a role that enables them to work adequately on achieving the Regulatory Milestone and/or Commercial Milestones, provided that nothing in this clause shall restrict the Company’s or Purchaser’s ability to modify roles, reorganize teams, merge functions, or adjust responsibilities in accordance with applicable law.</w:t>
      </w:r>
    </w:p>
    <w:p>
      <w:pPr>
        <w:pStyle w:val="TextBody"/>
        <w:bidi w:val="0"/>
        <w:spacing w:before="0" w:after="0"/>
        <w:ind w:left="0" w:right="0" w:firstLine="288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obligations set out in paragraph (ii) above shall not prevent the Purchaser or the Company from terminating the employment or service of any such Company employee or service provider in the following circumstances: (a) termination for Cause; (b) voluntary resignation; (c) termination due to death or Permanent Disability; (d) mutual agreement between the Purchaser or the Company and employee or service provider.</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1.6. </w:t>
      </w:r>
      <w:r>
        <w:rPr>
          <w:rFonts w:ascii="Times New Roman;Times;Serif" w:hAnsi="Times New Roman;Times;Serif"/>
          <w:b w:val="false"/>
          <w:i/>
          <w:caps w:val="false"/>
          <w:smallCaps w:val="false"/>
          <w:sz w:val="20"/>
        </w:rPr>
        <w:t>Share Cap.</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anything in this Agreement to the contrary, in no event shall the number of shares of Purchaser Common Stocks issuable under this Agreement exceed the Share Cap. In the event that any issuance of Purchaser Common Stocks otherwise required under this Agreement would cause the aggregate number of shares issued hereunder to exceed the Share Cap, Purchaser shall pay to the Sellers, in lieu of such excess shares, cash in an amount equal to the value of such excess shares. In such event, notwithstanding anything in this Agreement to the contrary, Sellers Representative cannot refuse that the cash payment of such portion of the consideration.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1.7. </w:t>
      </w:r>
      <w:r>
        <w:rPr>
          <w:rFonts w:ascii="Times New Roman;Times;Serif" w:hAnsi="Times New Roman;Times;Serif"/>
          <w:b w:val="false"/>
          <w:i/>
          <w:caps w:val="false"/>
          <w:smallCaps w:val="false"/>
          <w:sz w:val="20"/>
        </w:rPr>
        <w:t>Withholding Taxes.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Purchaser on its own behalf or on behalf of the Company will be entitled to deduct and withhold from any amounts otherwise payable pursuant to this Agreement such amounts as may be required to be deducted or withheld with respect to the making of such payment under the Code or any provision of state, local, provincial, or foreign Tax law, provided that Purchaser shall provide Sellers Representative with at least ten (10) Business Days’ prior written notice of any such withholding (except where such withholding is required by applicable law to be made immediately) and shall cooperate in good faith with Sellers Representative to minimize or eliminate any such withholding to the extent permitted by applicable law. To the extent that amounts are so withheld and paid over to the applicable Governmental Entity, such withheld amounts will be treated for all purposes of this Agreement as having been paid to the Person in respect of which such deduction and withholding was made.</w:t>
      </w:r>
    </w:p>
    <w:p>
      <w:pPr>
        <w:pStyle w:val="TextBody"/>
        <w:bidi w:val="0"/>
        <w:spacing w:before="0" w:after="0"/>
        <w:ind w:left="0" w:right="0" w:firstLine="720"/>
        <w:jc w:val="both"/>
        <w:rPr>
          <w:caps w:val="false"/>
          <w:smallCaps w:val="false"/>
        </w:rPr>
      </w:pPr>
      <w:r>
        <w:rPr>
          <w:caps w:val="false"/>
          <w:smallCaps w:val="false"/>
        </w:rPr>
        <w:t>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283"/>
              <w:jc w:val="center"/>
              <w:rPr/>
            </w:pPr>
            <w:r>
              <w:rPr/>
              <w:t>-9-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Article II</w:t>
      </w:r>
      <w:r>
        <w:rPr>
          <w:rFonts w:ascii="Times New Roman;Times;Serif" w:hAnsi="Times New Roman;Times;Serif"/>
          <w:b/>
          <w:i w:val="false"/>
          <w:caps w:val="false"/>
          <w:smallCaps w:val="false"/>
          <w:sz w:val="20"/>
        </w:rPr>
        <w:br/>
        <w:br/>
      </w:r>
      <w:r>
        <w:rPr>
          <w:rFonts w:ascii="Times New Roman;Times;Serif" w:hAnsi="Times New Roman;Times;Serif"/>
          <w:b/>
          <w:i w:val="false"/>
          <w:caps/>
          <w:sz w:val="20"/>
        </w:rPr>
        <w:t>CLOSING</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2.1. </w:t>
      </w:r>
      <w:r>
        <w:rPr>
          <w:rFonts w:ascii="Times New Roman;Times;Serif" w:hAnsi="Times New Roman;Times;Serif"/>
          <w:b w:val="false"/>
          <w:i/>
          <w:caps w:val="false"/>
          <w:smallCaps w:val="false"/>
          <w:sz w:val="20"/>
        </w:rPr>
        <w:t>Closing.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closing of the sale of the Sold Securities to Purchaser (the “</w:t>
      </w:r>
      <w:r>
        <w:rPr>
          <w:rFonts w:ascii="Times New Roman;Times;Serif" w:hAnsi="Times New Roman;Times;Serif"/>
          <w:b w:val="false"/>
          <w:i w:val="false"/>
          <w:caps w:val="false"/>
          <w:smallCaps w:val="false"/>
          <w:sz w:val="20"/>
          <w:u w:val="single"/>
        </w:rPr>
        <w:t>Closing</w:t>
      </w:r>
      <w:r>
        <w:rPr>
          <w:rFonts w:ascii="Times New Roman;Times;Serif" w:hAnsi="Times New Roman;Times;Serif"/>
          <w:b w:val="false"/>
          <w:i w:val="false"/>
          <w:caps w:val="false"/>
          <w:smallCaps w:val="false"/>
          <w:sz w:val="20"/>
        </w:rPr>
        <w:t>”) will take place remotely by exchange of signature pages, no later than the first Business Day of the month following the month which the last condition set forth in ‎Article VII (except for conditions to be fulfilled at Closing) is fulfilled (or waived) if the fulfilment (or waiver) of said condition occurs within the first fifteen days of the month, or on the date agreed between the Purchaser or the Sellers Representatives and at the latest first Business Day of the following month if the fulfilment (or waiver) of said condition occurs within the last fifteen days of the month, it being provided that if the last condition set forth in ‎Article VII (except for conditions to be fulfilled at Closing) is fulfilled (or waived) prior to June 15</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2026, Closing shall occur on (and not earlier than) July 1</w:t>
      </w:r>
      <w:r>
        <w:rPr>
          <w:rFonts w:ascii="Times New Roman;Times;Serif" w:hAnsi="Times New Roman;Times;Serif"/>
          <w:b w:val="false"/>
          <w:i w:val="false"/>
          <w:caps w:val="false"/>
          <w:smallCaps w:val="false"/>
          <w:position w:val="7"/>
          <w:sz w:val="16"/>
          <w:sz w:val="20"/>
        </w:rPr>
        <w:t>st</w:t>
      </w:r>
      <w:r>
        <w:rPr>
          <w:rFonts w:ascii="Times New Roman;Times;Serif" w:hAnsi="Times New Roman;Times;Serif"/>
          <w:b w:val="false"/>
          <w:i w:val="false"/>
          <w:caps w:val="false"/>
          <w:smallCaps w:val="false"/>
          <w:sz w:val="20"/>
        </w:rPr>
        <w:t>, 2026, or at such other time, date, and location to which Purchaser and the Sellers Representatives agree in writing. For purposes of this Agreement, “</w:t>
      </w:r>
      <w:r>
        <w:rPr>
          <w:rFonts w:ascii="Times New Roman;Times;Serif" w:hAnsi="Times New Roman;Times;Serif"/>
          <w:b w:val="false"/>
          <w:i w:val="false"/>
          <w:caps w:val="false"/>
          <w:smallCaps w:val="false"/>
          <w:sz w:val="20"/>
          <w:u w:val="single"/>
        </w:rPr>
        <w:t>Closing Date</w:t>
      </w:r>
      <w:r>
        <w:rPr>
          <w:rFonts w:ascii="Times New Roman;Times;Serif" w:hAnsi="Times New Roman;Times;Serif"/>
          <w:b w:val="false"/>
          <w:i w:val="false"/>
          <w:caps w:val="false"/>
          <w:smallCaps w:val="false"/>
          <w:sz w:val="20"/>
        </w:rPr>
        <w:t>” means the date and time as of which the Closing takes place. By exception, for the purpose of the Estimated Closing Working Capital, Estimated Closing Indebtedness, Closing Date Indebtedness, Closing Balance Sheet, Closing Working Capital, Closing Date Indebtedness, the Closing Date shall mean the last day of the month immediately prior to Closing. Consequently, for a Closing occurring on July 1</w:t>
      </w:r>
      <w:r>
        <w:rPr>
          <w:rFonts w:ascii="Times New Roman;Times;Serif" w:hAnsi="Times New Roman;Times;Serif"/>
          <w:b w:val="false"/>
          <w:i w:val="false"/>
          <w:caps w:val="false"/>
          <w:smallCaps w:val="false"/>
          <w:position w:val="7"/>
          <w:sz w:val="16"/>
          <w:sz w:val="20"/>
        </w:rPr>
        <w:t>st</w:t>
      </w:r>
      <w:r>
        <w:rPr>
          <w:rFonts w:ascii="Times New Roman;Times;Serif" w:hAnsi="Times New Roman;Times;Serif"/>
          <w:b w:val="false"/>
          <w:i w:val="false"/>
          <w:caps w:val="false"/>
          <w:smallCaps w:val="false"/>
          <w:sz w:val="20"/>
        </w:rPr>
        <w:t>, 2026, the Estimated Closing Working Capital, Estimated Closing Indebtedness, Closing Date Indebtedness, Closing Balance Sheet, Closing Working Capital, Closing Date Indebtedness, shall be calculated as of June 30,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2.2. </w:t>
      </w:r>
      <w:r>
        <w:rPr>
          <w:rFonts w:ascii="Times New Roman;Times;Serif" w:hAnsi="Times New Roman;Times;Serif"/>
          <w:b w:val="false"/>
          <w:i/>
          <w:caps w:val="false"/>
          <w:smallCaps w:val="false"/>
          <w:sz w:val="20"/>
        </w:rPr>
        <w:t>Deliveries at Closing</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Deliveries by Purchaser</w:t>
      </w:r>
      <w:r>
        <w:rPr>
          <w:rFonts w:ascii="Times New Roman;Times;Serif" w:hAnsi="Times New Roman;Times;Serif"/>
          <w:b w:val="false"/>
          <w:i w:val="false"/>
          <w:caps w:val="false"/>
          <w:smallCaps w:val="false"/>
          <w:sz w:val="20"/>
        </w:rPr>
        <w:t>. At the Closing, Purchaser shall deliver to the Sellers Representatives: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an instruction letter to Purchaser’s transfer agent, with a copy delivered to the Sellers Representatives, directing the Purchaser’s transfer agent to deliver each Seller’s allocable portion of the Estimated Upfront Consideration (as reduced by Sellers Transaction Expenses paid pursuant to Section 1.2(c), the Escrow Amount, and exclusive of any Purchaser Warrants, which shall be represented by one or more warrant agreements as provided in Section 2.2(a)(iii) below) in accordance with the Consideration Allocation Spreadsheet (as defined below), by restricted book entry at Purchaser’s transfer agent into segregated accounts established by such transfer agent for the benefit of, and registered in the name of, the Sellers (such establishment to occur no less than two Business Days prior to the Closing).</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 certificate, dated as of the Closing Date and executed by the Purchaser, certifying that (i) the conditions specified in Section 7.3(a) and Section 7.3(b) have been fulfilled, (ii) the representations and warranties of the Purchaser set forth in this Agreement are true and correct in all material respects as of the Closing Date (or, with respect to representations and warranties that speak as of a specific date, as of such date), (iii) no Material Adverse Effect has occurred since the date of this Agreement.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A duly executed warrant agreement in favour of EIB in the form attached as </w:t>
      </w:r>
      <w:r>
        <w:rPr>
          <w:rFonts w:ascii="Times New Roman;Times;Serif" w:hAnsi="Times New Roman;Times;Serif"/>
          <w:b w:val="false"/>
          <w:i w:val="false"/>
          <w:caps w:val="false"/>
          <w:smallCaps w:val="false"/>
          <w:sz w:val="20"/>
          <w:u w:val="single"/>
        </w:rPr>
        <w:t>Exhibit 1.2(b)</w:t>
      </w:r>
      <w:r>
        <w:rPr>
          <w:rFonts w:ascii="Times New Roman;Times;Serif" w:hAnsi="Times New Roman;Times;Serif"/>
          <w:b w:val="false"/>
          <w:i w:val="false"/>
          <w:caps w:val="false"/>
          <w:smallCaps w:val="false"/>
          <w:sz w:val="20"/>
        </w:rPr>
        <w:t>, as amended as the case may be by mutual approval of the Purchaser and EIB (the “</w:t>
      </w:r>
      <w:r>
        <w:rPr>
          <w:rFonts w:ascii="Times New Roman;Times;Serif" w:hAnsi="Times New Roman;Times;Serif"/>
          <w:b w:val="false"/>
          <w:i w:val="false"/>
          <w:caps w:val="false"/>
          <w:smallCaps w:val="false"/>
          <w:sz w:val="20"/>
          <w:u w:val="single"/>
        </w:rPr>
        <w:t>Purchaser Warrants Agreement</w:t>
      </w:r>
      <w:r>
        <w:rPr>
          <w:rFonts w:ascii="Times New Roman;Times;Serif" w:hAnsi="Times New Roman;Times;Serif"/>
          <w:b w:val="false"/>
          <w:i w:val="false"/>
          <w:caps w:val="false"/>
          <w:smallCaps w:val="false"/>
          <w:sz w:val="20"/>
        </w:rPr>
        <w: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Evidences of payments of (i) the amount to be paid by the Company at Closing pursuant to the Conciliation Protocol on behalf of the Company, (ii) the Transaction Expenses on behalf of the Company, (iii) the Sellers Transaction Expenses in accordance with Section 1.2(c) and the Escrow Amount on behalf of the Sellers, by wire transfer of immediately available funds to the bank accounts of the relevant beneficiaries.</w:t>
      </w:r>
    </w:p>
    <w:p>
      <w:pPr>
        <w:pStyle w:val="TextBody"/>
        <w:bidi w:val="0"/>
        <w:spacing w:before="0" w:after="0"/>
        <w:ind w:left="0" w:right="0" w:firstLine="2160"/>
        <w:jc w:val="both"/>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-10-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 A duly executed version of the resale organization agreement to be executed among the Purchaser, the Sellers (including the EIB), as set forth in </w:t>
      </w:r>
      <w:r>
        <w:rPr>
          <w:rFonts w:ascii="Times New Roman;Times;Serif" w:hAnsi="Times New Roman;Times;Serif"/>
          <w:b w:val="false"/>
          <w:i w:val="false"/>
          <w:caps w:val="false"/>
          <w:smallCaps w:val="false"/>
          <w:sz w:val="20"/>
          <w:u w:val="single"/>
        </w:rPr>
        <w:t>Exhibit 6.11</w:t>
      </w:r>
      <w:r>
        <w:rPr>
          <w:rFonts w:ascii="Times New Roman;Times;Serif" w:hAnsi="Times New Roman;Times;Serif"/>
          <w:b w:val="false"/>
          <w:i w:val="false"/>
          <w:caps w:val="false"/>
          <w:smallCaps w:val="false"/>
          <w:sz w:val="20"/>
        </w:rPr>
        <w:t xml:space="preserve"> (the “</w:t>
      </w:r>
      <w:r>
        <w:rPr>
          <w:rFonts w:ascii="Times New Roman;Times;Serif" w:hAnsi="Times New Roman;Times;Serif"/>
          <w:b w:val="false"/>
          <w:i w:val="false"/>
          <w:caps w:val="false"/>
          <w:smallCaps w:val="false"/>
          <w:sz w:val="20"/>
          <w:u w:val="single"/>
        </w:rPr>
        <w:t>Resale Organisation Agreement</w:t>
      </w:r>
      <w:r>
        <w:rPr>
          <w:rFonts w:ascii="Times New Roman;Times;Serif" w:hAnsi="Times New Roman;Times;Serif"/>
          <w:b w:val="false"/>
          <w:i w:val="false"/>
          <w:caps w:val="false"/>
          <w:smallCaps w:val="false"/>
          <w:sz w:val="20"/>
        </w:rPr>
        <w: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Deliveries by the Sellers Representatives</w:t>
      </w:r>
      <w:r>
        <w:rPr>
          <w:rFonts w:ascii="Times New Roman;Times;Serif" w:hAnsi="Times New Roman;Times;Serif"/>
          <w:b w:val="false"/>
          <w:i w:val="false"/>
          <w:caps w:val="false"/>
          <w:smallCaps w:val="false"/>
          <w:sz w:val="20"/>
        </w:rPr>
        <w:t>. At Closing, the Sellers Representatives shall deliver or shall cause to be delivered to Purchaser: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applicable brokerage account and related information requirement by the Purchaser’s transfer agent to transfer the Estimated Upfront Consideration;</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share transfer register (</w:t>
      </w:r>
      <w:r>
        <w:rPr>
          <w:rFonts w:ascii="Times New Roman;Times;Serif" w:hAnsi="Times New Roman;Times;Serif"/>
          <w:b w:val="false"/>
          <w:i/>
          <w:caps w:val="false"/>
          <w:smallCaps w:val="false"/>
          <w:sz w:val="20"/>
        </w:rPr>
        <w:t>registre de mouvements de titres</w:t>
      </w:r>
      <w:r>
        <w:rPr>
          <w:rFonts w:ascii="Times New Roman;Times;Serif" w:hAnsi="Times New Roman;Times;Serif"/>
          <w:b w:val="false"/>
          <w:i w:val="false"/>
          <w:caps w:val="false"/>
          <w:smallCaps w:val="false"/>
          <w:sz w:val="20"/>
        </w:rPr>
        <w:t>) and individual shareholders’ accounts (</w:t>
      </w:r>
      <w:r>
        <w:rPr>
          <w:rFonts w:ascii="Times New Roman;Times;Serif" w:hAnsi="Times New Roman;Times;Serif"/>
          <w:b w:val="false"/>
          <w:i/>
          <w:caps w:val="false"/>
          <w:smallCaps w:val="false"/>
          <w:sz w:val="20"/>
        </w:rPr>
        <w:t>comptes individuels d’associés</w:t>
      </w:r>
      <w:r>
        <w:rPr>
          <w:rFonts w:ascii="Times New Roman;Times;Serif" w:hAnsi="Times New Roman;Times;Serif"/>
          <w:b w:val="false"/>
          <w:i w:val="false"/>
          <w:caps w:val="false"/>
          <w:smallCaps w:val="false"/>
          <w:sz w:val="20"/>
        </w:rPr>
        <w:t>) of Company, duly updated to reflect the completion of the Equity Pre-Closing Transactions and the transfer of the Sold Securities to Purchaser;</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duly executed stock transfer forms (</w:t>
      </w:r>
      <w:r>
        <w:rPr>
          <w:rFonts w:ascii="Times New Roman;Times;Serif" w:hAnsi="Times New Roman;Times;Serif"/>
          <w:b w:val="false"/>
          <w:i/>
          <w:caps w:val="false"/>
          <w:smallCaps w:val="false"/>
          <w:sz w:val="20"/>
        </w:rPr>
        <w:t>ordres de mouvements de titres)</w:t>
      </w:r>
      <w:r>
        <w:rPr>
          <w:rFonts w:ascii="Times New Roman;Times;Serif" w:hAnsi="Times New Roman;Times;Serif"/>
          <w:b w:val="false"/>
          <w:i w:val="false"/>
          <w:caps w:val="false"/>
          <w:smallCaps w:val="false"/>
          <w:sz w:val="20"/>
        </w:rPr>
        <w:t xml:space="preserve"> reflecting the transfer of all the Sold Securities to Purchaser as at the Closing Date and corresponding Tax transfer forms (“</w:t>
      </w:r>
      <w:r>
        <w:rPr>
          <w:rFonts w:ascii="Times New Roman;Times;Serif" w:hAnsi="Times New Roman;Times;Serif"/>
          <w:b w:val="false"/>
          <w:i/>
          <w:caps w:val="false"/>
          <w:smallCaps w:val="false"/>
          <w:sz w:val="20"/>
        </w:rPr>
        <w:t>formulaires cerfa n°2759</w:t>
      </w:r>
      <w:r>
        <w:rPr>
          <w:rFonts w:ascii="Times New Roman;Times;Serif" w:hAnsi="Times New Roman;Times;Serif"/>
          <w:b w:val="false"/>
          <w:i w:val="false"/>
          <w:caps w:val="false"/>
          <w:smallCaps w:val="false"/>
          <w:sz w:val="20"/>
        </w:rPr>
        <w: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(iv) written resignations of all officers and directors of Company listed in </w:t>
      </w:r>
      <w:r>
        <w:rPr>
          <w:rFonts w:ascii="Times New Roman;Times;Serif" w:hAnsi="Times New Roman;Times;Serif"/>
          <w:b w:val="false"/>
          <w:i w:val="false"/>
          <w:caps w:val="false"/>
          <w:smallCaps w:val="false"/>
          <w:sz w:val="20"/>
          <w:u w:val="single"/>
        </w:rPr>
        <w:t>Exhibit 2.2(b)(iv)</w:t>
      </w:r>
      <w:r>
        <w:rPr>
          <w:rFonts w:ascii="Times New Roman;Times;Serif" w:hAnsi="Times New Roman;Times;Serif"/>
          <w:b w:val="false"/>
          <w:i w:val="false"/>
          <w:caps w:val="false"/>
          <w:smallCaps w:val="false"/>
          <w:sz w:val="20"/>
        </w:rPr>
        <w:t>, effective as of and conditioned upon the Closing;</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corporate documentation evidencing the completion of the Equity Pre-Closing Transactions;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 the conciliation protocol </w:t>
      </w:r>
      <w:r>
        <w:rPr>
          <w:rFonts w:ascii="Times New Roman;Times;Serif" w:hAnsi="Times New Roman;Times;Serif"/>
          <w:b w:val="false"/>
          <w:i/>
          <w:caps w:val="false"/>
          <w:smallCaps w:val="false"/>
          <w:sz w:val="20"/>
        </w:rPr>
        <w:t>(protocole de conciliation)</w:t>
      </w:r>
      <w:r>
        <w:rPr>
          <w:rFonts w:ascii="Times New Roman;Times;Serif" w:hAnsi="Times New Roman;Times;Serif"/>
          <w:b w:val="false"/>
          <w:i w:val="false"/>
          <w:caps w:val="false"/>
          <w:smallCaps w:val="false"/>
          <w:sz w:val="20"/>
        </w:rPr>
        <w:t xml:space="preserve"> duly executed by all parties thereto implementing the Debt Restructuring (the “</w:t>
      </w:r>
      <w:r>
        <w:rPr>
          <w:rFonts w:ascii="Times New Roman;Times;Serif" w:hAnsi="Times New Roman;Times;Serif"/>
          <w:b w:val="false"/>
          <w:i w:val="false"/>
          <w:caps w:val="false"/>
          <w:smallCaps w:val="false"/>
          <w:sz w:val="20"/>
          <w:u w:val="single"/>
        </w:rPr>
        <w:t>Conciliation Protocol</w:t>
      </w:r>
      <w:r>
        <w:rPr>
          <w:rFonts w:ascii="Times New Roman;Times;Serif" w:hAnsi="Times New Roman;Times;Serif"/>
          <w:b w:val="false"/>
          <w:i w:val="false"/>
          <w:caps w:val="false"/>
          <w:smallCaps w:val="false"/>
          <w:sz w:val="20"/>
        </w:rPr>
        <w:t>”) and duly approved by the competent French court (</w:t>
      </w:r>
      <w:r>
        <w:rPr>
          <w:rFonts w:ascii="Times New Roman;Times;Serif" w:hAnsi="Times New Roman;Times;Serif"/>
          <w:b w:val="false"/>
          <w:i/>
          <w:caps w:val="false"/>
          <w:smallCaps w:val="false"/>
          <w:sz w:val="20"/>
        </w:rPr>
        <w:t>homologation)</w:t>
      </w:r>
      <w:r>
        <w:rPr>
          <w:rFonts w:ascii="Times New Roman;Times;Serif" w:hAnsi="Times New Roman;Times;Serif"/>
          <w:b w:val="false"/>
          <w:i w:val="false"/>
          <w:caps w:val="false"/>
          <w:smallCaps w:val="false"/>
          <w:sz w:val="20"/>
        </w:rPr>
        <w: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in furtherance of the delivery obligations of Purchaser pursuant to Section 2.2(a)(i) above, the Company and the Sellers Representatives shall prepare and deliver to Purchaser no later than two (2) Business Days prior to Closing, a spreadsheet (the “</w:t>
      </w:r>
      <w:r>
        <w:rPr>
          <w:rFonts w:ascii="Times New Roman;Times;Serif" w:hAnsi="Times New Roman;Times;Serif"/>
          <w:b w:val="false"/>
          <w:i w:val="false"/>
          <w:caps w:val="false"/>
          <w:smallCaps w:val="false"/>
          <w:sz w:val="20"/>
          <w:u w:val="single"/>
        </w:rPr>
        <w:t>Consideration Allocation Spreadsheet</w:t>
      </w:r>
      <w:r>
        <w:rPr>
          <w:rFonts w:ascii="Times New Roman;Times;Serif" w:hAnsi="Times New Roman;Times;Serif"/>
          <w:b w:val="false"/>
          <w:i w:val="false"/>
          <w:caps w:val="false"/>
          <w:smallCaps w:val="false"/>
          <w:sz w:val="20"/>
        </w:rPr>
        <w:t>”) in a form reasonably acceptable to Purchaser, which spreadsheet shall be certified by the Sellers Representative, dated as of the Closing Date and set forth all of the following information: (i) as of the Closing Date and immediately prior to the Closing a true and complete list of the record and beneficial holders of issued and outstanding Sold Securities, number of Sold Securities held and the respective certificate numbers thereof, and such holders’ respective addresses, email addresses, and taxpayer identification numbers and (ii) the following amounts, calculated in accordance with, applicable Law, the Company’s Organizational Documents and all other contractual requirements on the part of Company as of immediately prior to the Closing: (1) the portion of the Upfront Stock Consideration allocated to each Seller in accordance with the Company’s Organizational Documents and/or the Consideration Allocation Spreadsheet, rounded down to the nearest whole share, and to be issued to each Seller in respect of their respective Sold Securities at the Closing</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(2) the portion of the Earnout Consideration allocated to each Seller in accordance with the Company’s Organizational Documents and/or the Consideration Allocation Spreadsheet, rounded down to the nearest whole share, and to be paid in cash or issued to each Seller in respect of their respective Sold Securities upon achievement of any Regulatory Milestones or Commercial Milestones pursuant to this Agreement, (3) the aggregate amount of the Transaction Expenses and the Sellers Transaction Expenses, their allocation among the relevant service providers, any withholding obligation with respect to the payment thereof and the wire transfer instructions for the bank accounts of each such service provider to which payment of the applicable Sellers Transaction Expenses shall be made in cash by the Purchaser on the Closing Date in accordance with Section 1.2(c) (it being specified that all invoice and paying information relation to Transaction Expenses and Sellers Transaction Expenses shall be shared five (5) Business Day prior to Closing to ensure their payment on the Closing Date), and (4) any other information requested by Purchaser’s transfer agent;</w:t>
      </w:r>
    </w:p>
    <w:p>
      <w:pPr>
        <w:pStyle w:val="TextBody"/>
        <w:bidi w:val="0"/>
        <w:spacing w:before="0" w:after="0"/>
        <w:ind w:left="0" w:right="0" w:firstLine="2160"/>
        <w:jc w:val="both"/>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-11-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(viii) a certificate, dated as of the Closing Date and executed by the Sellers Representatives, certifying that (i) the conditions specified in Section 7.3(a) and Section 7.3(b) have been fulfilled, (ii) the representations and warranties of the Company and the Sellers set forth in this Agreement are true and correct in all material respects as of the Closing Date (or, with respect to representations and warranties that speak as of a specific date, as of such date), (iii) no Material Adverse Effect has occurred since the date of this Agreement, (iv) all pre-closing covenants referred to in </w:t>
      </w:r>
      <w:r>
        <w:rPr>
          <w:rFonts w:ascii="Times New Roman;Times;Serif" w:hAnsi="Times New Roman;Times;Serif"/>
          <w:b w:val="false"/>
          <w:i w:val="false"/>
          <w:caps w:val="false"/>
          <w:smallCaps w:val="false"/>
          <w:sz w:val="20"/>
          <w:u w:val="single"/>
        </w:rPr>
        <w:t>Exhibit 2.2(b)(viii)</w:t>
      </w:r>
      <w:r>
        <w:rPr>
          <w:rFonts w:ascii="Times New Roman;Times;Serif" w:hAnsi="Times New Roman;Times;Serif"/>
          <w:b w:val="false"/>
          <w:i w:val="false"/>
          <w:caps w:val="false"/>
          <w:smallCaps w:val="false"/>
          <w:sz w:val="20"/>
        </w:rPr>
        <w:t xml:space="preserve"> have been satisfied, and (iv) attaching as an exhibit thereto the Company Disclosure Letter as updated by all Disclosure Updates delivered prior to the Closing Date (the “</w:t>
      </w:r>
      <w:r>
        <w:rPr>
          <w:rFonts w:ascii="Times New Roman;Times;Serif" w:hAnsi="Times New Roman;Times;Serif"/>
          <w:b w:val="false"/>
          <w:i w:val="false"/>
          <w:caps w:val="false"/>
          <w:smallCaps w:val="false"/>
          <w:sz w:val="20"/>
          <w:u w:val="single"/>
        </w:rPr>
        <w:t>Updated Company Disclosure Letter</w:t>
      </w:r>
      <w:r>
        <w:rPr>
          <w:rFonts w:ascii="Times New Roman;Times;Serif" w:hAnsi="Times New Roman;Times;Serif"/>
          <w:b w:val="false"/>
          <w:i w:val="false"/>
          <w:caps w:val="false"/>
          <w:smallCaps w:val="false"/>
          <w:sz w:val="20"/>
        </w:rPr>
        <w: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(ix) A duly executed version of the Sellers Bring Down Certificate in the form set out in </w:t>
      </w:r>
      <w:r>
        <w:rPr>
          <w:rFonts w:ascii="Times New Roman;Times;Serif" w:hAnsi="Times New Roman;Times;Serif"/>
          <w:b w:val="false"/>
          <w:i w:val="false"/>
          <w:caps w:val="false"/>
          <w:smallCaps w:val="false"/>
          <w:sz w:val="20"/>
          <w:u w:val="single"/>
        </w:rPr>
        <w:t>Exhibit 2.2(b)(ix)</w:t>
      </w:r>
      <w:r>
        <w:rPr>
          <w:rFonts w:ascii="Times New Roman;Times;Serif" w:hAnsi="Times New Roman;Times;Serif"/>
          <w:b w:val="false"/>
          <w:i w:val="false"/>
          <w:caps w:val="false"/>
          <w:smallCaps w:val="false"/>
          <w:sz w:val="20"/>
        </w:rPr>
        <w: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A duly executed version of the Resale Organization Agreement.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 Three (3) USB memory sticks containing a copy of the Company Data Room, provided by the data room provider.</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 A duly executed version by EIB of the Purchaser Warrants Agreement.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(xiii) As to the ODI Shareholders, either written evidence of (i) receipt completed its ODI Registration (including certificates and filing proofs issued by competent authorities) or (ii) completion of a Pre-Closing Transfer in accordance with Section 10.3(c) below.</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Further Assurances</w:t>
      </w:r>
      <w:r>
        <w:rPr>
          <w:rFonts w:ascii="Times New Roman;Times;Serif" w:hAnsi="Times New Roman;Times;Serif"/>
          <w:b w:val="false"/>
          <w:i w:val="false"/>
          <w:caps w:val="false"/>
          <w:smallCaps w:val="false"/>
          <w:sz w:val="20"/>
        </w:rPr>
        <w:t>. Following the Closing, each Party shall execute and/or cause to be delivered to each other Party such instruments and other documents, and shall take such other actions, as such other Party may reasonably request for the purpose of carrying out or evidencing any of the Transactions.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2.3. </w:t>
      </w:r>
      <w:r>
        <w:rPr>
          <w:rFonts w:ascii="Times New Roman;Times;Serif" w:hAnsi="Times New Roman;Times;Serif"/>
          <w:b w:val="false"/>
          <w:i/>
          <w:caps w:val="false"/>
          <w:smallCaps w:val="false"/>
          <w:sz w:val="20"/>
        </w:rPr>
        <w:t>Debt Restructuring. Equity Pre-Closing Transactions.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Parties, the Company, and its main creditors shall negotiate in good faith the terms of the conciliation agreement in line with </w:t>
      </w:r>
      <w:r>
        <w:rPr>
          <w:rFonts w:ascii="Times New Roman;Times;Serif" w:hAnsi="Times New Roman;Times;Serif"/>
          <w:b w:val="false"/>
          <w:i w:val="false"/>
          <w:caps w:val="false"/>
          <w:smallCaps w:val="false"/>
          <w:sz w:val="20"/>
          <w:u w:val="single"/>
        </w:rPr>
        <w:t>Exhibit 7.2(e)</w:t>
      </w:r>
      <w:r>
        <w:rPr>
          <w:rFonts w:ascii="Times New Roman;Times;Serif" w:hAnsi="Times New Roman;Times;Serif"/>
          <w:b w:val="false"/>
          <w:i w:val="false"/>
          <w:caps w:val="false"/>
          <w:smallCaps w:val="false"/>
          <w:sz w:val="20"/>
        </w:rPr>
        <w:t xml:space="preserve"> and the terms of the IF Bonds.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Closing, the Company shall (a) file with the competent court a petition for the homologation (</w:t>
      </w:r>
      <w:r>
        <w:rPr>
          <w:rFonts w:ascii="Times New Roman;Times;Serif" w:hAnsi="Times New Roman;Times;Serif"/>
          <w:b w:val="false"/>
          <w:i/>
          <w:caps w:val="false"/>
          <w:smallCaps w:val="false"/>
          <w:sz w:val="20"/>
        </w:rPr>
        <w:t>homologation</w:t>
      </w:r>
      <w:r>
        <w:rPr>
          <w:rFonts w:ascii="Times New Roman;Times;Serif" w:hAnsi="Times New Roman;Times;Serif"/>
          <w:b w:val="false"/>
          <w:i w:val="false"/>
          <w:caps w:val="false"/>
          <w:smallCaps w:val="false"/>
          <w:sz w:val="20"/>
        </w:rPr>
        <w:t>) of the Conciliation Protocol implementing the Debt Restructuring executed prior to Closing in accordance with Articles L. 611-8 et seq. of the French Commercial Code, (b) cooperate fully with the conciliator (</w:t>
      </w:r>
      <w:r>
        <w:rPr>
          <w:rFonts w:ascii="Times New Roman;Times;Serif" w:hAnsi="Times New Roman;Times;Serif"/>
          <w:b w:val="false"/>
          <w:i/>
          <w:caps w:val="false"/>
          <w:smallCaps w:val="false"/>
          <w:sz w:val="20"/>
        </w:rPr>
        <w:t>conciliateur</w:t>
      </w:r>
      <w:r>
        <w:rPr>
          <w:rFonts w:ascii="Times New Roman;Times;Serif" w:hAnsi="Times New Roman;Times;Serif"/>
          <w:b w:val="false"/>
          <w:i w:val="false"/>
          <w:caps w:val="false"/>
          <w:smallCaps w:val="false"/>
          <w:sz w:val="20"/>
        </w:rPr>
        <w:t>) and the court in connection with such homologation proceedings, and (c) use Commercially Reasonable Efforts to obtain a final and enforceable homologation judgment (</w:t>
      </w:r>
      <w:r>
        <w:rPr>
          <w:rFonts w:ascii="Times New Roman;Times;Serif" w:hAnsi="Times New Roman;Times;Serif"/>
          <w:b w:val="false"/>
          <w:i/>
          <w:caps w:val="false"/>
          <w:smallCaps w:val="false"/>
          <w:sz w:val="20"/>
        </w:rPr>
        <w:t>jugement d’homologation</w:t>
      </w:r>
      <w:r>
        <w:rPr>
          <w:rFonts w:ascii="Times New Roman;Times;Serif" w:hAnsi="Times New Roman;Times;Serif"/>
          <w:b w:val="false"/>
          <w:i w:val="false"/>
          <w:caps w:val="false"/>
          <w:smallCaps w:val="false"/>
          <w:sz w:val="20"/>
        </w:rPr>
        <w:t>) as soon as possible following the filing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Prior to Closing, in accordance with </w:t>
      </w:r>
      <w:r>
        <w:rPr>
          <w:rFonts w:ascii="Times New Roman;Times;Serif" w:hAnsi="Times New Roman;Times;Serif"/>
          <w:b w:val="false"/>
          <w:i w:val="false"/>
          <w:caps w:val="false"/>
          <w:smallCaps w:val="false"/>
          <w:sz w:val="20"/>
          <w:u w:val="single"/>
        </w:rPr>
        <w:t>Exhibit 7.2(e)</w:t>
      </w:r>
      <w:r>
        <w:rPr>
          <w:rFonts w:ascii="Times New Roman;Times;Serif" w:hAnsi="Times New Roman;Times;Serif"/>
          <w:b w:val="false"/>
          <w:i w:val="false"/>
          <w:caps w:val="false"/>
          <w:smallCaps w:val="false"/>
          <w:sz w:val="20"/>
        </w:rPr>
        <w:t xml:space="preserve">, the Company will create a new category of preferred shares (Series D2 Shares) and issue Series D2 Shares to the benefit of EIB, entitling it to receive [***]% (or any other percentage agreed between the EIB and the Sellers in accordance with the last paragraph of the “Earn-Out Entitlement and EIB liquidation preference and carve out” of the EIB Term Sheet as set forth in </w:t>
      </w:r>
      <w:r>
        <w:rPr>
          <w:rFonts w:ascii="Times New Roman;Times;Serif" w:hAnsi="Times New Roman;Times;Serif"/>
          <w:b w:val="false"/>
          <w:i w:val="false"/>
          <w:caps w:val="false"/>
          <w:smallCaps w:val="false"/>
          <w:sz w:val="20"/>
          <w:u w:val="single"/>
        </w:rPr>
        <w:t>Exhibit 7.2(e)</w:t>
      </w:r>
      <w:r>
        <w:rPr>
          <w:rFonts w:ascii="Times New Roman;Times;Serif" w:hAnsi="Times New Roman;Times;Serif"/>
          <w:b w:val="false"/>
          <w:i w:val="false"/>
          <w:caps w:val="false"/>
          <w:smallCaps w:val="false"/>
          <w:sz w:val="20"/>
        </w:rPr>
        <w:t>) of the Upfront Stock Consideration. Such Series D2 Shares shall be subscribed by EIB by offsetting its receivable against the Company.</w:t>
      </w:r>
    </w:p>
    <w:p>
      <w:pPr>
        <w:pStyle w:val="TextBody"/>
        <w:bidi w:val="0"/>
        <w:spacing w:before="0" w:after="0"/>
        <w:ind w:left="0" w:right="0" w:firstLine="720"/>
        <w:jc w:val="both"/>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-12-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Article III</w:t>
      </w:r>
      <w:r>
        <w:rPr>
          <w:rFonts w:ascii="Times New Roman;Times;Serif" w:hAnsi="Times New Roman;Times;Serif"/>
          <w:b/>
          <w:i w:val="false"/>
          <w:caps w:val="false"/>
          <w:smallCaps w:val="false"/>
          <w:sz w:val="20"/>
        </w:rPr>
        <w:br/>
        <w:br/>
      </w:r>
      <w:r>
        <w:rPr>
          <w:rFonts w:ascii="Times New Roman;Times;Serif" w:hAnsi="Times New Roman;Times;Serif"/>
          <w:b/>
          <w:i w:val="false"/>
          <w:caps/>
          <w:sz w:val="20"/>
        </w:rPr>
        <w:t xml:space="preserve">REPRESENTATIONS AND WARRANTIES OF </w:t>
      </w:r>
      <w:r>
        <w:rPr>
          <w:rFonts w:ascii="Times New Roman;Times;Serif" w:hAnsi="Times New Roman;Times;Serif"/>
          <w:b/>
          <w:i w:val="false"/>
          <w:caps w:val="false"/>
          <w:smallCaps w:val="false"/>
          <w:sz w:val="20"/>
        </w:rPr>
        <w:t>COMPANY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material inducement to Purchaser to enter into this Agreement and to consummate the Transactions, the Manager represents to Purchaser with respect to the Company as follows, that such representations are true and accurate as at the date hereof and as of the Closing Date (except for representations and warranties that speak as of a specific date, which shall be true and accurate as of such date). The representations and warranties set forth in this Article III are qualified by the Company Disclosure Letter, which Company Disclosure Letter shall be arranged in sections corresponding to the numbered and lettered sections and subsections contained in this Article III. Disclosures in any section or subsection of the Company Disclosure Letter shall qualify other sections and subsections in this Article III only to the extent it is clearly apparent from a reading of the disclosure that such disclosure is applicable to such other sections and subsections. The Company and the Sellers Representatives shall have the right to supplement or update the Company Disclosure Letter from time to time prior to the Closing to reflect any changes or developments occurring after the date of this Agreement (each such supplement or update, a “</w:t>
      </w:r>
      <w:r>
        <w:rPr>
          <w:rFonts w:ascii="Times New Roman;Times;Serif" w:hAnsi="Times New Roman;Times;Serif"/>
          <w:b w:val="false"/>
          <w:i w:val="false"/>
          <w:caps w:val="false"/>
          <w:smallCaps w:val="false"/>
          <w:sz w:val="20"/>
          <w:u w:val="single"/>
        </w:rPr>
        <w:t>Disclosure Update</w:t>
      </w:r>
      <w:r>
        <w:rPr>
          <w:rFonts w:ascii="Times New Roman;Times;Serif" w:hAnsi="Times New Roman;Times;Serif"/>
          <w:b w:val="false"/>
          <w:i w:val="false"/>
          <w:caps w:val="false"/>
          <w:smallCaps w:val="false"/>
          <w:sz w:val="20"/>
        </w:rPr>
        <w:t>”); provided that any such Disclosure Update shall be delivered to Purchaser promptly upon the Company or the Sellers Representatives becoming aware of the relevant matter and in any event no later than five (5) Business Days prior to the Closing Date. Each Disclosure Update shall specifically identify the representations and warranties to which it relates and shall describe in reasonable detail the facts and circumstances giving rise to such update. Such Disclosure Update shall be deemed to amend and supplement the Company Disclosure Letter.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3.1. </w:t>
      </w:r>
      <w:r>
        <w:rPr>
          <w:rFonts w:ascii="Times New Roman;Times;Serif" w:hAnsi="Times New Roman;Times;Serif"/>
          <w:b w:val="false"/>
          <w:i/>
          <w:caps w:val="false"/>
          <w:smallCaps w:val="false"/>
          <w:sz w:val="20"/>
        </w:rPr>
        <w:t xml:space="preserve">Organization, Corporate Power and Qualification. </w:t>
      </w:r>
      <w:r>
        <w:rPr>
          <w:rFonts w:ascii="Times New Roman;Times;Serif" w:hAnsi="Times New Roman;Times;Serif"/>
          <w:b w:val="false"/>
          <w:i w:val="false"/>
          <w:caps w:val="false"/>
          <w:smallCaps w:val="false"/>
          <w:sz w:val="20"/>
        </w:rPr>
        <w:t>Company is a corporation duly organized and validly existing under the laws of France. Company has entered into a French ad hoc mandate procedure (</w:t>
      </w:r>
      <w:r>
        <w:rPr>
          <w:rFonts w:ascii="Times New Roman;Times;Serif" w:hAnsi="Times New Roman;Times;Serif"/>
          <w:b w:val="false"/>
          <w:i/>
          <w:caps w:val="false"/>
          <w:smallCaps w:val="false"/>
          <w:sz w:val="20"/>
        </w:rPr>
        <w:t>procédure de mandat ad hoc</w:t>
      </w:r>
      <w:r>
        <w:rPr>
          <w:rFonts w:ascii="Times New Roman;Times;Serif" w:hAnsi="Times New Roman;Times;Serif"/>
          <w:b w:val="false"/>
          <w:i w:val="false"/>
          <w:caps w:val="false"/>
          <w:smallCaps w:val="false"/>
          <w:sz w:val="20"/>
        </w:rPr>
        <w:t>) on 17 February 2026 and into a French conciliation procedure (</w:t>
      </w:r>
      <w:r>
        <w:rPr>
          <w:rFonts w:ascii="Times New Roman;Times;Serif" w:hAnsi="Times New Roman;Times;Serif"/>
          <w:b w:val="false"/>
          <w:i/>
          <w:caps w:val="false"/>
          <w:smallCaps w:val="false"/>
          <w:sz w:val="20"/>
        </w:rPr>
        <w:t>procédure de conciliation</w:t>
      </w:r>
      <w:r>
        <w:rPr>
          <w:rFonts w:ascii="Times New Roman;Times;Serif" w:hAnsi="Times New Roman;Times;Serif"/>
          <w:b w:val="false"/>
          <w:i w:val="false"/>
          <w:caps w:val="false"/>
          <w:smallCaps w:val="false"/>
          <w:sz w:val="20"/>
        </w:rPr>
        <w:t>) on 25 March 2026. As of the date of this Agreement, and immediately following the completion of the Debt Restructuring and as of the Closing, the Company is not and will not be insolvent or subject to any other proceeding than the conciliation procedure (</w:t>
      </w:r>
      <w:r>
        <w:rPr>
          <w:rFonts w:ascii="Times New Roman;Times;Serif" w:hAnsi="Times New Roman;Times;Serif"/>
          <w:b w:val="false"/>
          <w:i/>
          <w:caps w:val="false"/>
          <w:smallCaps w:val="false"/>
          <w:sz w:val="20"/>
        </w:rPr>
        <w:t>procédure de conciliation</w:t>
      </w:r>
      <w:r>
        <w:rPr>
          <w:rFonts w:ascii="Times New Roman;Times;Serif" w:hAnsi="Times New Roman;Times;Serif"/>
          <w:b w:val="false"/>
          <w:i w:val="false"/>
          <w:caps w:val="false"/>
          <w:smallCaps w:val="false"/>
          <w:sz w:val="20"/>
        </w:rPr>
        <w:t>) with a view to the prevention of business difficulties or to a judgment of, or request for, dissolution, liquidation, bankruptcy or receivership. Company has all requisite corporate power and authority to carry on its business as presently conducted. Company is duly qualified to transact business and in good standing in each jurisdiction in which the nature of its business or the ownership or leasing of its properties requires such qualification.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3.2. </w:t>
      </w:r>
      <w:r>
        <w:rPr>
          <w:rFonts w:ascii="Times New Roman;Times;Serif" w:hAnsi="Times New Roman;Times;Serif"/>
          <w:b w:val="false"/>
          <w:i/>
          <w:caps w:val="false"/>
          <w:smallCaps w:val="false"/>
          <w:sz w:val="20"/>
        </w:rPr>
        <w:t>Capitalization</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Upon completion of the Equity Pre-Closing Transactions pursuant to Section 2.3, the share capital of Company will be equal to €[***] represented by [***] issued and outstanding Company Ordinary Shares and [***] issued and outstanding Company Preferred Shares, with a nominal value of €[***] each. Upon completion of the Equity Pre-Closing Transactions, the Sold Securities will represent 100% of the share capital and voting rights of the Company (on a fully-diluted basis).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Company Capitalization Table sets forth the capitalization of Company upon completion of the Equity Pre-Closing Transactions immediately before Closing.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No delegation by the shareholders’ meeting of the Company allowing the issuance of any new Company Ordinary Share, Company Preferred Share or any option, warrant or any other kind of security convertible into or exchangeable for Company Ordinary Shares or Company Preferred Shares is outstanding as at the Closing Date.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Except for this Agreement, the Related Agreements, the Company Shareholders’ Agreements and the securities and rights described in this Section 3.2, the Company Capitalization Table and Section 3.2(d) of the Company Disclosure Letter, there are no outstanding options, warrants, rights (including conversion or preemptive rights and rights of first refusal or similar rights) or agreements in writing, (i) to purchase or acquire from Company any Company Ordinary Shares or Company Preferred Shares, or any securities convertible into or exchangeable for Company Ordinary Shares or Company Preferred Shares or (ii) regarding the voting of Shares.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Except as set forth in Section 3.2(e) of the Company Disclosure Letter, Company has not awarded any stock options, restricted stock or other equity based incentives under any plan or otherwise. Company has never adjusted or amended the exercise price of any stock options previously awarded, whether through amendment, cancellation, replacement grant, repricing, or any other means. Company has never proceeded with the repurchase of its capital stock.</w:t>
      </w:r>
    </w:p>
    <w:p>
      <w:pPr>
        <w:pStyle w:val="TextBody"/>
        <w:bidi w:val="0"/>
        <w:spacing w:before="0" w:after="0"/>
        <w:ind w:left="0" w:right="0" w:firstLine="1440"/>
        <w:jc w:val="both"/>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-13-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All Shares, when issued and outstanding as of immediately prior to the Closing, will have been duly authorized, fully paid and nonassessable and will have been issued in compliance with all applicable Legal Requirements. Company has no treasury stock.</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3.3. </w:t>
      </w:r>
      <w:r>
        <w:rPr>
          <w:rFonts w:ascii="Times New Roman;Times;Serif" w:hAnsi="Times New Roman;Times;Serif"/>
          <w:b w:val="false"/>
          <w:i/>
          <w:caps w:val="false"/>
          <w:smallCaps w:val="false"/>
          <w:sz w:val="20"/>
        </w:rPr>
        <w:t>Subsidiaries and Affiliates</w:t>
      </w:r>
      <w:r>
        <w:rPr>
          <w:rFonts w:ascii="Times New Roman;Times;Serif" w:hAnsi="Times New Roman;Times;Serif"/>
          <w:b w:val="false"/>
          <w:i w:val="false"/>
          <w:caps w:val="false"/>
          <w:smallCaps w:val="false"/>
          <w:sz w:val="20"/>
        </w:rPr>
        <w:t>. Except as set forth in Section 3.3 of Company Disclosure Letter, Company does not currently own or control (and has never owned or controlled), directly or indirectly, any interest in any other corporation, partnership, trust, joint venture, limited liability company, association, or other business entity, or have any other Affiliates. Except as set forth in Section 3.3 of Company Disclosure Letter, the Company is not a participant in any joint venture, partnership or similar arrangement. The JV is a legal entity duly organized, validly existing, and, to the extent applicable, in good standing under the laws of the jurisdiction of its organization with full corporate power and authority to conduct its business as it is presently being conducted, to own, license, lease, and use the properties and assets that it purports to own, license, lease, or use, and to perform all of its obligations and enforce all of its rights under its the JV Agreements. Except as set forth in Section 3.3 of Company Disclosure Letter, neither the Company nor the JV has any obligation to acquire any interest in any corporation, partnership, trust, joint venture, limited liability company, association, or other business entity or make any investment in or capital contribution to any corporation, partnership, trust, joint venture, limited liability company, association, or other business entity. The Company owns [***]% of the outstanding share capital of the JV free and clear of all Encumbrances and such equity interest represents shares duly authorized, validly issued, fully paid, and non-assessable, which are not subject to any preemptive right, right of first refusal, right of first offer, right of rescission, or similar right, except pursuant to the JV Agreements. To the Company’s Knowledge, no claim has been made or threatened, by or on behalf of any Person, to the Company or the JV asserting that any Person other than the Company is the record or beneficial owner of, or has the right to acquire record or beneficial ownership of, the Company equity interest in the JV. The JV Agreements have been made available to the Purchaser and are true, accurate, and complete as of the date of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3.4. </w:t>
      </w:r>
      <w:r>
        <w:rPr>
          <w:rFonts w:ascii="Times New Roman;Times;Serif" w:hAnsi="Times New Roman;Times;Serif"/>
          <w:b w:val="false"/>
          <w:i/>
          <w:caps w:val="false"/>
          <w:smallCaps w:val="false"/>
          <w:sz w:val="20"/>
        </w:rPr>
        <w:t>Authorization</w:t>
      </w:r>
      <w:r>
        <w:rPr>
          <w:rFonts w:ascii="Times New Roman;Times;Serif" w:hAnsi="Times New Roman;Times;Serif"/>
          <w:b w:val="false"/>
          <w:i w:val="false"/>
          <w:caps w:val="false"/>
          <w:smallCaps w:val="false"/>
          <w:sz w:val="20"/>
        </w:rPr>
        <w:t>. All corporate action required to be taken by Company’s Board of Directors and shareholders in order to authorize Company to enter into this Agreement and the Related Agreements to which it is a party and consummate the Transactions has been taken or will be taken prior to the Closing. The Board of Directors of Company (and any applicable committee thereof) has unanimously approved this Agreement and the other documents contemplated hereby and the Transactions and, to the extent Company is concerned, authorized the execution, delivery and performance by Company of its obligations under this Agreement and the other documents contemplated hereby and the consummation of the Transactions. All actions on the part of the chief executive officer (</w:t>
      </w:r>
      <w:r>
        <w:rPr>
          <w:rFonts w:ascii="Times New Roman;Times;Serif" w:hAnsi="Times New Roman;Times;Serif"/>
          <w:b w:val="false"/>
          <w:i/>
          <w:caps w:val="false"/>
          <w:smallCaps w:val="false"/>
          <w:sz w:val="20"/>
        </w:rPr>
        <w:t>Président</w:t>
      </w:r>
      <w:r>
        <w:rPr>
          <w:rFonts w:ascii="Times New Roman;Times;Serif" w:hAnsi="Times New Roman;Times;Serif"/>
          <w:b w:val="false"/>
          <w:i w:val="false"/>
          <w:caps w:val="false"/>
          <w:smallCaps w:val="false"/>
          <w:sz w:val="20"/>
        </w:rPr>
        <w:t>) of Company necessary for the execution and delivery of this Agreement and the Related Agreements to which it is a party, the performance of all obligations of Company under this Agreement and the Related Agreements to which it is a party to be performed as of the Closing has been taken or will be taken prior to the Closing. This Agreement and the Related Agreements to which Company is a party, when executed and delivered by Company, shall constitute valid and legally binding obligations of Company, enforceable against Company in accordance with their respective terms.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3.5. </w:t>
      </w:r>
      <w:r>
        <w:rPr>
          <w:rFonts w:ascii="Times New Roman;Times;Serif" w:hAnsi="Times New Roman;Times;Serif"/>
          <w:b w:val="false"/>
          <w:i/>
          <w:caps w:val="false"/>
          <w:smallCaps w:val="false"/>
          <w:sz w:val="20"/>
        </w:rPr>
        <w:t>Governmental Consents and Filings.</w:t>
      </w:r>
      <w:r>
        <w:rPr>
          <w:rFonts w:ascii="Times New Roman;Times;Serif" w:hAnsi="Times New Roman;Times;Serif"/>
          <w:b w:val="false"/>
          <w:i w:val="false"/>
          <w:caps w:val="false"/>
          <w:smallCaps w:val="false"/>
          <w:sz w:val="20"/>
        </w:rPr>
        <w:t xml:space="preserve"> No consent, approval, order or authorization of, or registration, qualification, designation, declaration or filing with, any Governmental Entity is required from Company in connection with the consummation of the Transactions.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3.6. </w:t>
      </w:r>
      <w:r>
        <w:rPr>
          <w:rFonts w:ascii="Times New Roman;Times;Serif" w:hAnsi="Times New Roman;Times;Serif"/>
          <w:b w:val="false"/>
          <w:i/>
          <w:caps w:val="false"/>
          <w:smallCaps w:val="false"/>
          <w:sz w:val="20"/>
        </w:rPr>
        <w:t>Litigation</w:t>
      </w:r>
      <w:r>
        <w:rPr>
          <w:rFonts w:ascii="Times New Roman;Times;Serif" w:hAnsi="Times New Roman;Times;Serif"/>
          <w:b w:val="false"/>
          <w:i w:val="false"/>
          <w:caps w:val="false"/>
          <w:smallCaps w:val="false"/>
          <w:sz w:val="20"/>
        </w:rPr>
        <w:t>. Except as set forth in Section 3.6 of the Company Disclosure Letter, there is no Proceeding pending or, to Company’s Knowledge, currently threatened in writing: (i) against Company or any officer, director or Key Employee of Company; or (ii) that questions the validity of this Agreement or the Related Agreements or the right of Company to enter into them, or to consummate the Transactions; or (iii) to Company’s Knowledge, that would reasonably be expected to have, either individually or in the aggregate, a Material Adverse Effect. Neither Company nor, to Company’s Knowledge, any of its officers or directors, is a party or is named as subject to the provisions of any order, writ, injunction, judgment or decree of any court or Governmental Entity or instrumentality (in the case of officers or directors, such as would affect Company). There is no pending action, suit, proceeding or investigation into Company by a Government Entity. The foregoing includes, without limitation, actions, suits, proceedings or investigations pending or threatened in writing to Company (or any basis therefor known to the Company) involving the employment or prior employment by Company of any of its employees, their services provided as employees of Company in connection with Company’s business.</w:t>
      </w:r>
    </w:p>
    <w:p>
      <w:pPr>
        <w:pStyle w:val="TextBody"/>
        <w:bidi w:val="0"/>
        <w:spacing w:before="0" w:after="0"/>
        <w:ind w:left="0" w:right="0" w:firstLine="720"/>
        <w:jc w:val="both"/>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-14-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3.7. </w:t>
      </w:r>
      <w:r>
        <w:rPr>
          <w:rFonts w:ascii="Times New Roman;Times;Serif" w:hAnsi="Times New Roman;Times;Serif"/>
          <w:b w:val="false"/>
          <w:i/>
          <w:caps w:val="false"/>
          <w:smallCaps w:val="false"/>
          <w:sz w:val="20"/>
        </w:rPr>
        <w:t>Intellectual Property.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Section 3.7(a) of Company Disclosure Letter sets forth a true, accurate and complete list of all Registered Intellectual Property of Company, identifying information of all federal, state and foreign registrations of such Registered Intellectual Property or applications for registration thereof. Each item of Registered Intellectual Property of Company listed as being registered (as opposed to an application for registration) is validly registered and enforceable.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Company owns, is licensed to use, or otherwise has the necessary rights to use, free and clear of any Encumbrance (other than Permitted Encumbrances), all Intellectual Property Rights that are necessary for the operation of its business as currently conducted. Except for the licenses, covenants not to sue, coexistence agreements, sublicenses, and escrow agreements disclosed in Section 3.7(b) of Company Disclosure Letter (the “</w:t>
      </w:r>
      <w:r>
        <w:rPr>
          <w:rFonts w:ascii="Times New Roman;Times;Serif" w:hAnsi="Times New Roman;Times;Serif"/>
          <w:b w:val="false"/>
          <w:i w:val="false"/>
          <w:caps w:val="false"/>
          <w:smallCaps w:val="false"/>
          <w:sz w:val="20"/>
          <w:u w:val="single"/>
        </w:rPr>
        <w:t>Company Out-Licenses</w:t>
      </w:r>
      <w:r>
        <w:rPr>
          <w:rFonts w:ascii="Times New Roman;Times;Serif" w:hAnsi="Times New Roman;Times;Serif"/>
          <w:b w:val="false"/>
          <w:i w:val="false"/>
          <w:caps w:val="false"/>
          <w:smallCaps w:val="false"/>
          <w:sz w:val="20"/>
        </w:rPr>
        <w:t>”), there are no outstanding rights or options (whether or not currently exercisable), licenses or agreements of any kind relating to Company Owned Intellectual Property. Except for the licenses, covenants not to sue, coexistence agreements, sublicenses, and escrow agreements disclosed in Section 3.7(b) of Company Disclosure Letter (the “</w:t>
      </w:r>
      <w:r>
        <w:rPr>
          <w:rFonts w:ascii="Times New Roman;Times;Serif" w:hAnsi="Times New Roman;Times;Serif"/>
          <w:b w:val="false"/>
          <w:i w:val="false"/>
          <w:caps w:val="false"/>
          <w:smallCaps w:val="false"/>
          <w:sz w:val="20"/>
          <w:u w:val="single"/>
        </w:rPr>
        <w:t>Company In-Licenses</w:t>
      </w:r>
      <w:r>
        <w:rPr>
          <w:rFonts w:ascii="Times New Roman;Times;Serif" w:hAnsi="Times New Roman;Times;Serif"/>
          <w:b w:val="false"/>
          <w:i w:val="false"/>
          <w:caps w:val="false"/>
          <w:smallCaps w:val="false"/>
          <w:sz w:val="20"/>
        </w:rPr>
        <w:t>”), Company has no outstanding material rights or options (whether or not currently exercisable), licenses or agreements of any kind relating to any Intellectual Property Rights owned by any third party, nor is Company bound by or a party to any rights, options, licenses or agreements of any kind (other than commercially available software licensed agreements for less than €20,000 per year, “</w:t>
      </w:r>
      <w:r>
        <w:rPr>
          <w:rFonts w:ascii="Times New Roman;Times;Serif" w:hAnsi="Times New Roman;Times;Serif"/>
          <w:b w:val="false"/>
          <w:i w:val="false"/>
          <w:caps w:val="false"/>
          <w:smallCaps w:val="false"/>
          <w:sz w:val="20"/>
          <w:u w:val="single"/>
        </w:rPr>
        <w:t>OTC Software</w:t>
      </w:r>
      <w:r>
        <w:rPr>
          <w:rFonts w:ascii="Times New Roman;Times;Serif" w:hAnsi="Times New Roman;Times;Serif"/>
          <w:b w:val="false"/>
          <w:i w:val="false"/>
          <w:caps w:val="false"/>
          <w:smallCaps w:val="false"/>
          <w:sz w:val="20"/>
        </w:rPr>
        <w:t>”) with respect to any Intellectual Property Rights owned by a third party. To the Company’s Knowledge, there has been no material breach or violation by Company and there is no material breach or violation by any other party to, any Company In-License or Company Out-License. There are no, nor have there been for the preceding three (3) years, any, claims, disputes, notices or other communications (in writing or otherwise) received in writing by Company (including any request for an audit of Company’s use or an offer that Company obtain a license to any Intellectual Property Rights of another Person) regarding the scope of any Company In-Licenses, or performance under any Company In-Licenses, including with respect to any payments to be made or received by Company thereunder and limitations on Company’s right to use the applicable Intellectual Property Rights.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To the Company’s Knowledge, the conduct of the Company’s business as currently conducted, the conduct of Company’s business in the past, and the current and past services of Company, do not infringe, constitute the misappropriation of, or violate, any Intellectual Property Rights of any third party. Over the preceding three (3) years, the Company has not received any notice or other communication (in writing or otherwise) of any claim, from any Person asserting that the Company’s business or any of the services of Company infringe or may infringe, constitute the misappropriation of, or violate, any Intellectual Property Rights of another Person. There is no competing claim or, to the Company’s Knowledge, existing infringement or misappropriation by any third party on the right to use or own any of Company Intellectual Property. To Company’s Knowledge, Company has acquired (through ownership or license) all necessary Intellectual Property Rights used in the conduct of Company’s business as currently conducted and Company’s business conducted in the past. To Company’s Knowledge, no Person has infringed, misappropriated, or otherwise violated, and no Person is currently infringing, misappropriating, or otherwise violating, any Company Owned Intellectual Property.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Company has taken commercially reasonable measures and precautions to establish and preserve the confidentiality, secrecy and ownership of all Company Owned Intellectual Property. Company has no knowledge of any violation of the confidentiality of any non-public confidential information or trade secrets of Company or of any third party that has disclosed confidential information or trade secrets to Company subject to confidentiality or non-disclosure obligations. To Company’s Knowledge, Company is not making unlawful use of any confidential information or trade secrets of any third party. To Company’s Knowledge, none of the employees, consultants, or independent contractors of Company have any agreements or arrangements with any former employers relating to confidential information or trade secrets of such employers that would interfere with the activities of Company. To the Company’s Knowledge, none of the activities of the employees, consultants, or independent contractors of Company violate any agreements or arrangements which such persons have with former employers or any other third party, including any non-competition, non-solicitation and/or confidentiality agreements. To the Company’s Knowledge, no current or former employee, officer, manager, member, consultant or independent contractor of Company has any right, claim or interest in or with respect to any of Company Intellectual Property.</w:t>
      </w:r>
    </w:p>
    <w:p>
      <w:pPr>
        <w:pStyle w:val="TextBody"/>
        <w:bidi w:val="0"/>
        <w:spacing w:before="0" w:after="0"/>
        <w:ind w:left="0" w:right="0" w:firstLine="1440"/>
        <w:jc w:val="both"/>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-15-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Each Person who is or was an employee of Company has signed a valid, enforceable agreement containing an, express or implied by law, assignment of Intellectual Property Rights pertaining to such Company Owned Intellectual Property to Company and, express or implied by law, confidentiality provisions protecting Company Owned Intellectual Property, in the form posted in Company Data Room, without any deviations or listed exceptions. Each Person who is or was a consultant of Company has signed a valid, enforceable agreement containing an, express or implied by law, assignment of Intellectual Property Rights pertaining to such Company Intellectual Property to Company and, express or implied by law, confidentiality provisions protecting Company Owned Intellectual Property.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No Registered Intellectual Property of Company has been or is now the subject of any Proceeding, interference, reissue, re-examination or opposition proceeding to which the Company was or is a party or of which the Company has knowledge.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Company Intellectual Property constitutes all of the Intellectual Property Rights used in or necessary for the conduct of Company’s business as currently conducted.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All Company Owned Intellectual Property was either created, developed or conceived by (i) employees of Company within the scope of their employment or (ii) by independent contractors who have duly assigned their rights to Company pursuant to enforceable written agreements.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consummation of the Transactions will not result in the loss or impairment of Company’s ownership or rights in and to any of Company Intellectual Property, require Company to grant to any third party any right to any Intellectual Property Rights or obligate Company to pay any royalties or any other amounts to any third party in excess of any amounts payable to such third parties prior to the Closing, nor will the consummation of the Transactions require the approval or consent of any Governmental Entity or other Person in respect to any Intellectual Property Rights.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In the preceding three (3) years, (i) the Company has not received any written notice from any data protection Governmental Entity alleging non-compliance with any Law relating to the collection, use, disclosure, retention, protection or processing of Personal Data, (ii) to the Company’s Knowledge, the Company has not received any written notice from any data subject alleging any non-compliance with any Law relating to the collection, use, disclosure, retention, protection or processing of Personal Data, and (iii) the processing of Personal Data by the Company has not been the subject of any investigation or proceedings (whether of a criminal, civil or administrative nature) by any Governmental Entity. The Company is not transferring Personal Data outside the European Union.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Company has paid all fees, royalties, consideration, and any other kind of remuneration it is due to pay pursuant to the agreements it has entered into and, more specifically, pursuant to agreements in accordance with which the transfer of certain Intellectual Property Rights is subject to the complete and final payments owed to the other party.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3.8. </w:t>
      </w:r>
      <w:r>
        <w:rPr>
          <w:rFonts w:ascii="Times New Roman;Times;Serif" w:hAnsi="Times New Roman;Times;Serif"/>
          <w:b w:val="false"/>
          <w:i/>
          <w:caps w:val="false"/>
          <w:smallCaps w:val="false"/>
          <w:sz w:val="20"/>
        </w:rPr>
        <w:t>Compliance with Other Instruments</w:t>
      </w:r>
      <w:r>
        <w:rPr>
          <w:rFonts w:ascii="Times New Roman;Times;Serif" w:hAnsi="Times New Roman;Times;Serif"/>
          <w:b w:val="false"/>
          <w:i w:val="false"/>
          <w:caps w:val="false"/>
          <w:smallCaps w:val="false"/>
          <w:sz w:val="20"/>
        </w:rPr>
        <w:t>. Company is not in violation or default (i) of any provisions of the Company Existing Bylaws, (ii) of any material judgment, order, writ or decree applicable to Company, or (iii) under any Material Contract to which it is a party or by which it is bound that is required to be listed on the Company Disclosure Letter, or of any provision of a statute, rule or regulation applicable to Company, the violation of which such statute, rule or regulation would reasonably be expected, individually or in the aggregate, to have a Material Adverse Effect. The execution, delivery and performance of this Agreement and the Related Agreements and the consummation of the Transactions will not result in any such violation or be in conflict with or constitute, with or without the passage of time and giving of notice, either (A) a default under any such provision, judgment, order, writ, decree or Material Contract or (B) an event which results in the creation of any lien, charge or encumbrance upon any assets of Company or the suspension, revocation, forfeiture, or nonrenewal of any material permit or license applicable to Company.</w:t>
      </w:r>
    </w:p>
    <w:p>
      <w:pPr>
        <w:pStyle w:val="TextBody"/>
        <w:bidi w:val="0"/>
        <w:spacing w:before="0" w:after="0"/>
        <w:ind w:left="0" w:right="0" w:firstLine="720"/>
        <w:jc w:val="both"/>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-16-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3.9. </w:t>
      </w:r>
      <w:r>
        <w:rPr>
          <w:rFonts w:ascii="Times New Roman;Times;Serif" w:hAnsi="Times New Roman;Times;Serif"/>
          <w:b w:val="false"/>
          <w:i/>
          <w:caps w:val="false"/>
          <w:smallCaps w:val="false"/>
          <w:sz w:val="20"/>
        </w:rPr>
        <w:t>Agreements; Actions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Section 3.9(a) of the Company Disclosure Letter sets forth each Material Contract of Company. True and complete copies of all Material Contracts of Company have been posted in the Company Data Room.</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Other than Material Contracts that have terminated or expired in accordance with their terms, if any, each Material Contract of Company is in full force and effect, is a valid and binding obligation of Company and, to the Company’s Knowledge, of each other party thereto and is enforceable, in accordance with its terms, against Company and, to the Company’s Knowledge, against each other party thereto, and such Material Contracts of Company will continue to be valid, binding and enforceable in accordance with their respective terms and in full force and effect immediately following the consummation of the Transactions, with no alteration or acceleration or increase in fees or liabilities as a result thereof. Company is not and is not alleged to be, and to the Company’s Knowledge, no other party is alleged to be, in material default under, or in material breach or violation of, any Material Contract of Company and, to the Company’s Knowledge, no event has occurred in the last three (3) years which would constitute such a material default, breach or violation.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3.10. </w:t>
      </w:r>
      <w:r>
        <w:rPr>
          <w:rFonts w:ascii="Times New Roman;Times;Serif" w:hAnsi="Times New Roman;Times;Serif"/>
          <w:b w:val="false"/>
          <w:i/>
          <w:caps w:val="false"/>
          <w:smallCaps w:val="false"/>
          <w:sz w:val="20"/>
        </w:rPr>
        <w:t>Certain Transactions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Except as disclosed on Section 3.10(a) of the Company Disclosure Letter, there are no agreements, understandings or proposed transactions between Company and any of its officers, directors, consultants or Key Employees, or any Affiliate thereof.</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Company is not indebted, directly or indirectly, to any of its directors, officers or employees or to their respective spouses or children or to any Affiliate of any of the foregoing, other than in connection with expenses or advances of expenses incurred in the ordinary course of business or employee relocation expenses and for other customary employee benefits made generally available to all employees. None of Company’s directors, officers or employees, or any members of their immediate families, or any Affiliate of the foregoing are, directly or indirectly, indebted to Company. To Company’s Knowledge, none of Company’s officers or Key Employees, or any members of their immediate families, or any Affiliate of the foregoing have any direct or indirect ownership interest in any firm, corporation, partnership, trust, limited liability company, association or other entity with which Company is affiliated or with which Company has a business relationship, or any firm, corporation, partnership, trust, limited liability company, association or other entity which competes with Company. None of Company’s Key Employees or any members of their immediate families or any Affiliate of any of the foregoing are, directly or indirectly, interested in any contract with Company. None of the Key Employees or officers of the Company, or any members of their immediate families, has any material commercial, industrial, banking, consulting, legal, accounting, charitable or familial relationship with any of Company’s customers, suppliers, service providers, joint venture partners, licensees and competitors.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3.11. </w:t>
      </w:r>
      <w:r>
        <w:rPr>
          <w:rFonts w:ascii="Times New Roman;Times;Serif" w:hAnsi="Times New Roman;Times;Serif"/>
          <w:b w:val="false"/>
          <w:i/>
          <w:caps w:val="false"/>
          <w:smallCaps w:val="false"/>
          <w:sz w:val="20"/>
        </w:rPr>
        <w:t>Registration Rights</w:t>
      </w:r>
      <w:r>
        <w:rPr>
          <w:rFonts w:ascii="Times New Roman;Times;Serif" w:hAnsi="Times New Roman;Times;Serif"/>
          <w:b w:val="false"/>
          <w:i w:val="false"/>
          <w:caps w:val="false"/>
          <w:smallCaps w:val="false"/>
          <w:sz w:val="20"/>
        </w:rPr>
        <w:t>. As of immediately prior to the Closing, Company is not under any obligation to publicly register under any applicable Legal Requirement any of its outstanding securities or any securities issuable upon exercise or conversion of its outstanding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3.12. </w:t>
      </w:r>
      <w:r>
        <w:rPr>
          <w:rFonts w:ascii="Times New Roman;Times;Serif" w:hAnsi="Times New Roman;Times;Serif"/>
          <w:b w:val="false"/>
          <w:i/>
          <w:caps w:val="false"/>
          <w:smallCaps w:val="false"/>
          <w:sz w:val="20"/>
        </w:rPr>
        <w:t>Property; Absence of Liens</w:t>
      </w:r>
      <w:r>
        <w:rPr>
          <w:rFonts w:ascii="Times New Roman;Times;Serif" w:hAnsi="Times New Roman;Times;Serif"/>
          <w:b w:val="false"/>
          <w:i w:val="false"/>
          <w:caps w:val="false"/>
          <w:smallCaps w:val="false"/>
          <w:sz w:val="20"/>
        </w:rPr>
        <w:t>. Company does not own any real property or any interest therein. The property and assets that Company owns are free and clear of all Encumbrances (other than Permitted Encumbrances). With respect to the property and assets it leases, Company is in compliance with such leases and, to its Knowledge, holds a valid leasehold interest free of any Encumbrances (other than Permitted Encumbrances).</w:t>
      </w:r>
    </w:p>
    <w:p>
      <w:pPr>
        <w:pStyle w:val="TextBody"/>
        <w:bidi w:val="0"/>
        <w:spacing w:before="0" w:after="0"/>
        <w:ind w:left="0" w:right="0" w:firstLine="720"/>
        <w:jc w:val="both"/>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-17-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3.13. </w:t>
      </w:r>
      <w:r>
        <w:rPr>
          <w:rFonts w:ascii="Times New Roman;Times;Serif" w:hAnsi="Times New Roman;Times;Serif"/>
          <w:b w:val="false"/>
          <w:i/>
          <w:caps w:val="false"/>
          <w:smallCaps w:val="false"/>
          <w:sz w:val="20"/>
        </w:rPr>
        <w:t>Financial Statements; Indebtedness</w:t>
      </w:r>
      <w:r>
        <w:rPr>
          <w:rFonts w:ascii="Times New Roman;Times;Serif" w:hAnsi="Times New Roman;Times;Serif"/>
          <w:b w:val="false"/>
          <w:i w:val="false"/>
          <w:caps w:val="false"/>
          <w:smallCaps w:val="false"/>
          <w:sz w:val="20"/>
        </w:rPr>
        <w:t>. A copy of the audited financial statements (including balance sheet and income statement) of Company as of December 31, 2024 and the unaudited financial statements (including balance sheet and income statement) of Company as of December 31, 2025 (the “</w:t>
      </w:r>
      <w:r>
        <w:rPr>
          <w:rFonts w:ascii="Times New Roman;Times;Serif" w:hAnsi="Times New Roman;Times;Serif"/>
          <w:b w:val="false"/>
          <w:i w:val="false"/>
          <w:caps w:val="false"/>
          <w:smallCaps w:val="false"/>
          <w:sz w:val="20"/>
          <w:u w:val="single"/>
        </w:rPr>
        <w:t>Company Financial Statements</w:t>
      </w:r>
      <w:r>
        <w:rPr>
          <w:rFonts w:ascii="Times New Roman;Times;Serif" w:hAnsi="Times New Roman;Times;Serif"/>
          <w:b w:val="false"/>
          <w:i w:val="false"/>
          <w:caps w:val="false"/>
          <w:smallCaps w:val="false"/>
          <w:sz w:val="20"/>
        </w:rPr>
        <w:t>”) is appended to Section 3.13 of the Company Disclosure Letter. The Company Financial Statements have been prepared in accordance with the accounting principles and methodologies (</w:t>
      </w:r>
      <w:r>
        <w:rPr>
          <w:rFonts w:ascii="Times New Roman;Times;Serif" w:hAnsi="Times New Roman;Times;Serif"/>
          <w:b w:val="false"/>
          <w:i/>
          <w:caps w:val="false"/>
          <w:smallCaps w:val="false"/>
          <w:sz w:val="20"/>
        </w:rPr>
        <w:t>règles et méthodes comptables</w:t>
      </w:r>
      <w:r>
        <w:rPr>
          <w:rFonts w:ascii="Times New Roman;Times;Serif" w:hAnsi="Times New Roman;Times;Serif"/>
          <w:b w:val="false"/>
          <w:i w:val="false"/>
          <w:caps w:val="false"/>
          <w:smallCaps w:val="false"/>
          <w:sz w:val="20"/>
        </w:rPr>
        <w:t>) consistently applied by Company in the preparation of its annual financial statements and in compliance with GAAP. The Company Financial Statements are complete and correct and give a true and fair view of the assets and liabilities and financial position, as well as the results of operations (</w:t>
      </w:r>
      <w:r>
        <w:rPr>
          <w:rFonts w:ascii="Times New Roman;Times;Serif" w:hAnsi="Times New Roman;Times;Serif"/>
          <w:b w:val="false"/>
          <w:i/>
          <w:caps w:val="false"/>
          <w:smallCaps w:val="false"/>
          <w:sz w:val="20"/>
        </w:rPr>
        <w:t>sont réguliers et sincères et donnent une image fidèle du patrimoine, de la situation financière, ainsi que du résultat</w:t>
      </w:r>
      <w:r>
        <w:rPr>
          <w:rFonts w:ascii="Times New Roman;Times;Serif" w:hAnsi="Times New Roman;Times;Serif"/>
          <w:b w:val="false"/>
          <w:i w:val="false"/>
          <w:caps w:val="false"/>
          <w:smallCaps w:val="false"/>
          <w:sz w:val="20"/>
        </w:rPr>
        <w:t>) of Company as of such date and for the period then ended, subject in the case of the unaudited Company Financial Statements to normal year-end audit adjustments (which are not expected to be material either individually or in the aggregate). Except as set forth in the Company Financial Statements, Company has no material liabilities or obligations, contingent or otherwise, other than (i) liabilities incurred in the ordinary course of business subsequent to December 31, 2025, (ii) obligations under contracts and commitments incurred in the ordinary course of business subsequent to December 31, 2025 and (iii) liabilities and obligations of a type or nature not required under GAAP to be reflected in the Company Financial Statements, which, in all such cases, would not be reasonably expected, individually or in the aggregate, to have a Material Adverse Effect. Except as disclosed in the Company Financial Statements, Company is not a guarantor or indemnitor of any indebtedness of any other person, firm or corporation. Company has maintained a standard system of accounting established and administered in accordance with its accounting principles and methodologies (</w:t>
      </w:r>
      <w:r>
        <w:rPr>
          <w:rFonts w:ascii="Times New Roman;Times;Serif" w:hAnsi="Times New Roman;Times;Serif"/>
          <w:b w:val="false"/>
          <w:i/>
          <w:caps w:val="false"/>
          <w:smallCaps w:val="false"/>
          <w:sz w:val="20"/>
        </w:rPr>
        <w:t>règles et méthodes comptables</w:t>
      </w:r>
      <w:r>
        <w:rPr>
          <w:rFonts w:ascii="Times New Roman;Times;Serif" w:hAnsi="Times New Roman;Times;Serif"/>
          <w:b w:val="false"/>
          <w:i w:val="false"/>
          <w:caps w:val="false"/>
          <w:smallCaps w:val="false"/>
          <w:sz w:val="20"/>
        </w:rPr>
        <w:t>) and GAAP.</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3.14. </w:t>
      </w:r>
      <w:r>
        <w:rPr>
          <w:rFonts w:ascii="Times New Roman;Times;Serif" w:hAnsi="Times New Roman;Times;Serif"/>
          <w:b w:val="false"/>
          <w:i/>
          <w:caps w:val="false"/>
          <w:smallCaps w:val="false"/>
          <w:sz w:val="20"/>
        </w:rPr>
        <w:t>Changes.</w:t>
      </w:r>
      <w:r>
        <w:rPr>
          <w:rFonts w:ascii="Times New Roman;Times;Serif" w:hAnsi="Times New Roman;Times;Serif"/>
          <w:b w:val="false"/>
          <w:i w:val="false"/>
          <w:caps w:val="false"/>
          <w:smallCaps w:val="false"/>
          <w:sz w:val="20"/>
        </w:rPr>
        <w:t xml:space="preserve"> Since December 31, 2025, except as set forth on Section 3.14 of the Company Disclosure Letter or required herein for purpose of completion of the Transactions, there has not been: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any change in the assets, liabilities, financial condition or operating results of Company from that reflected in the Company Financial Statements, except changes in the ordinary course of business that would not reasonably be expected, individually or in the aggregate, to have a Material Adverse Effect;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damage, destruction or loss, whether or not covered by insurance, which would reasonably be expected, individually or in the aggregate, to have a Material Adverse Effect;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any waiver or compromise by Company of a valuable right or of a material debt owed to it;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any satisfaction or discharge of any lien, claim, or encumbrance or payment of any obligation by Company, except in the ordinary course of business and the satisfaction or discharge of which would not reasonably be expected, individually or in the aggregate, to have a Material Adverse Effect;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any material change to a Material Contract by which Company or any of its assets was bound or subject;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any material change in any compensation arrangement or agreement with any employee, officer, director or stockholder of Company;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any resignation or termination of employment of any officer or Key Employee of Company; provided that all officers and directors listed on </w:t>
      </w:r>
      <w:r>
        <w:rPr>
          <w:rFonts w:ascii="Times New Roman;Times;Serif" w:hAnsi="Times New Roman;Times;Serif"/>
          <w:b w:val="false"/>
          <w:i w:val="false"/>
          <w:caps w:val="false"/>
          <w:smallCaps w:val="false"/>
          <w:sz w:val="20"/>
          <w:u w:val="single"/>
        </w:rPr>
        <w:t>Exhibit 2.2(b)(iv)</w:t>
      </w:r>
      <w:r>
        <w:rPr>
          <w:rFonts w:ascii="Times New Roman;Times;Serif" w:hAnsi="Times New Roman;Times;Serif"/>
          <w:b w:val="false"/>
          <w:i w:val="false"/>
          <w:caps w:val="false"/>
          <w:smallCaps w:val="false"/>
          <w:sz w:val="20"/>
        </w:rPr>
        <w:t xml:space="preserve"> shall have resigned at Closing;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any mortgage, pledge, transfer of a security interest in, or lien, created by Company, with respect to any of its material properties or assets, except liens for taxes not yet due or payable and liens that arise in the ordinary course of business and do not materially impair Company’s ownership or use of such property or assets;</w:t>
      </w:r>
    </w:p>
    <w:p>
      <w:pPr>
        <w:pStyle w:val="TextBody"/>
        <w:bidi w:val="0"/>
        <w:spacing w:before="0" w:after="0"/>
        <w:ind w:left="0" w:right="0" w:firstLine="1440"/>
        <w:jc w:val="both"/>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-18-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any loans or guarantees made by Company to or for the benefit of its employees, officers or directors, or any members of their immediate families, other than travel advances and other advances made in the ordinary course of its business;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any declaration, setting aside or payment or other distribution in respect of any of Company’s capital stock, or other securities of Company, or any direct or indirect redemption, purchase, or other acquisition of any of such capital stock or other securities by Company;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any sale, assignment or transfer of any Company Intellectual Property that would reasonably be expected, individually or in the aggregate, to have a Material Adverse Effect;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receipt of notice that there has been a loss of, or material order cancellation by, any major customer of Company;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any capital expenditures or commitments, including trade payables and other liabilities incurred in the normal course of business, that aggregate in excess of €50,000, except for Transaction Expenses;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to Company’s Knowledge, any other event or condition of any character, other than events affecting the economy or Company’s industry generally, that would reasonably be expected, individually or in the aggregate, to have a Material Adverse Effect; or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any arrangement or commitment by Company to do any of the things described in this Section 3.14.</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3.15. </w:t>
      </w:r>
      <w:r>
        <w:rPr>
          <w:rFonts w:ascii="Times New Roman;Times;Serif" w:hAnsi="Times New Roman;Times;Serif"/>
          <w:b w:val="false"/>
          <w:i/>
          <w:caps w:val="false"/>
          <w:smallCaps w:val="false"/>
          <w:sz w:val="20"/>
        </w:rPr>
        <w:t>Employee Benefit Plans and Employee Matters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As of the date hereof, Company employs [***] full-time employees, [***] executive officer, [***] part-time employees, and uses [***] consultants or independent contractors, and all of the full-time and part-time employees render services to Company at the offices listed in Section 3.15(a) of the Company Disclosure Letter. Section 3.15(a) of the Company Disclosure Letter sets forth a list of each employee and consultant currently providing services to Company together with such person’s title/job description or missions. Section 3.15 (a) of the Company Disclosure Letter sets forth a list of each Key Employee under the heading “Key Employee”. Section 3.15(a) of the Company Disclosure Letter sets forth a detailed description of all compensation, including salary, bonus, commission (if any), severance obligations, fees, and deferred compensation paid or payable for each officer, employee, consultant and independent contractor of Company and the current leave status of all such persons. Except as set forth on Section 3.15(a) of the Company Disclosure Letter, Company has no outstanding severance, deferred compensation, fees or obligations to provide compensation or benefits upon termination of employment or service. No consultant or independent contractor hired by Company is entitled to consider that he benefits from an employment agreement entered into with Company.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To Company’s Knowledge, none of its employees is obligated under any contract (including licenses, covenants or commitments of any nature) or other agreement, or subject to any judgment, decree or order of any court or administrative agency, that would materially interfere with such employee’s ability to promote the interest of Company or that would conflict with Company’s business. Neither the execution, delivery or performance of this Agreement and the Related Agreements, nor the carrying on of Company’s business by the employees of Company, nor the conduct of Company’s business as now conducted and as presently proposed to be conducted, will, to Company’s Knowledge, conflict with or result in a breach of the terms, conditions, or provisions of, or constitute a default under, any contract, covenant or instrument under which any such employee is now obligated.</w:t>
      </w:r>
    </w:p>
    <w:p>
      <w:pPr>
        <w:pStyle w:val="TextBody"/>
        <w:bidi w:val="0"/>
        <w:spacing w:before="0" w:after="0"/>
        <w:ind w:left="0" w:right="0" w:firstLine="1440"/>
        <w:jc w:val="both"/>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-19-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Company is not delinquent in payments to any of its employees, consultants, or independent contractors for any wages, salaries, commissions, bonuses, fees or other direct compensation for any service performed for it to the date hereof or amounts required to be reimbursed to such employees, consultants, or independent contractors. Company has complied in all material respects with all applicable equal employment opportunity laws and with other laws related to employment, including those related to wages, hours, worker classification, and collective bargaining. Employees employed under the </w:t>
      </w:r>
      <w:r>
        <w:rPr>
          <w:rFonts w:ascii="Times New Roman;Times;Serif" w:hAnsi="Times New Roman;Times;Serif"/>
          <w:b w:val="false"/>
          <w:i/>
          <w:caps w:val="false"/>
          <w:smallCaps w:val="false"/>
          <w:sz w:val="20"/>
        </w:rPr>
        <w:t xml:space="preserve">Cadre dirigeant </w:t>
      </w:r>
      <w:r>
        <w:rPr>
          <w:rFonts w:ascii="Times New Roman;Times;Serif" w:hAnsi="Times New Roman;Times;Serif"/>
          <w:b w:val="false"/>
          <w:i w:val="false"/>
          <w:caps w:val="false"/>
          <w:smallCaps w:val="false"/>
          <w:sz w:val="20"/>
        </w:rPr>
        <w:t>status actually take part in the management of Company. Except as set forth on Section 3.15(c) of the Company Disclosure Letter, Company has withheld and paid to the appropriate Governmental Entity or is holding for payment not yet due to such Governmental Entity all amounts required to be withheld from employees of Company and is not liable for any arrears of wages, taxes, penalties, or other sums for failure to comply with any of the foregoing.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To Company’s Knowledge, no Key Employee intends to terminate employment with Company or is otherwise likely to become unavailable to continue as a Key Employee of Company, nor does Company have a present intention to terminate the employment of any of its Key Employees. Except as required by applicable Legal Requirements (including, but not limited to, the collective bargaining agreement applicable to Company), Company has no policy, practice, plan, or program of paying severance pay or any form of severance compensation in connection with the termination of employment services.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Company has not made any representations regarding equity incentives to any officer, employees, director or consultant that are inconsistent with the share amounts and terms set forth in Company’s Board of Directors’ minutes.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Each former Key Employee, if any, whose employment was terminated by Company has entered into an agreement with Company providing for the full release of any claims against Company or any related party arising out of such employment.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Section 3.15(g) of the Company Disclosure Letter lists all Company Plans. Company does not have any express or implied commitment to (x) create, incur liability with respect to, or cause to exist any other employee benefit plan, program or arrangement, (y) enter into any contract or agreement to provide compensation or benefits to any individual or (z) modify, change or terminate any Company Plan. Company has posted in the Company Data Room a true and complete copy of each Company Plan (or a written summary of any Company Plan that is not in writing) (other than plans required under applicable Legal Requirements (including the collective bargaining agreement applicable to Company)) and a true and complete copy of each material document prepared in connection with each relevant Company Plan.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None of the Company Plans provides for the payment of separation, severance, termination or similar benefits to any person or obligates Company to pay separation, severance, termination or similar-type benefits solely or partially as a result of any transaction contemplated by this Agreement. Neither the execution and delivery of this Agreement nor the consummation of the transactions contemplated hereby will (either alone or upon the occurrence of any additional or subsequent events) constitute an event under any Company Plan that will or may result in any payment, acceleration, forgiveness of indebtedness, vesting, distribution, increase in benefits or obligation to fund benefits. No Company Plan provides, or reflects or represents any liability to provide, retiree health, disability or life insurance coverage to any person for any reason, except as may be required by any applicable law or statute, and Company has never represented, promised or contracted (in written form) to any employee (either individually or to employees as a group) or any other person that such employee or other person would be provided with health, disability or life insurance coverage after retirement or other termination of service, except to the extent required by law or statute.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Each Company Plan is now and always has been operated in all material respects in accordance with its terms and the requirements of all applicable Legal Requirements. Company has performed all obligations required to be performed by it (including the timely payment of contributions, payments and insurance premiums) under, is not in any respect in default under or in violation of, and has no knowledge of any default or violation by any party to, any Company Plan. No action, claim or proceeding is pending or, to the Company’s Knowledge, threatened with respect to any Company Plan (other than claims for benefits in the ordinary course) and no fact or event exists that could give rise to any such action, claim or proceeding.</w:t>
      </w:r>
    </w:p>
    <w:p>
      <w:pPr>
        <w:pStyle w:val="TextBody"/>
        <w:bidi w:val="0"/>
        <w:spacing w:before="0" w:after="0"/>
        <w:ind w:left="0" w:right="0" w:firstLine="1440"/>
        <w:jc w:val="both"/>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-20-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Company (i) is, and at all times has been, in material compliance with all applicable Legal Requirements respecting employment, employment practices, terms and conditions of employment and wages and hours, in each case, with respect to Company employees; (ii) has withheld and reported all amounts required by applicable Legal Requirements or by Contract to be withheld and reported with respect to wages, salaries and other payments to Company employees; (iii) is not liable for any arrears of wages or any taxes or any penalty for failure to comply with the applicable Legal Requirements of the foregoing; and (iv) is not liable for any payment to any trust or other fund governed by or maintained by or on behalf of any Governmental Entity with respect to unemployment compensation benefits, social security or other benefits or obligations for Company employees (other than routine payments to be made in the normal course of business and consistent with past practice). There are no pending or, to the Company’s Knowledge, threatened or reasonably anticipated claims or Proceedings against Company under any worker’s compensation policy or long-term disability policy.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Company is not bound by or subject to (and none of its assets or properties is bound by or subject to) any written express contract, commitment or arrangement with any labor union, and no labor union has requested or, to the Company’s Knowledge, has sought to represent any of the employees, representatives or agents of Company. There is no strike or other labor dispute involving Company pending, or to Company’s Knowledge, threatened, which would reasonably be expected, individually or in the aggregate, to have a Material Adverse Effect, nor is Company aware of any labor organization activity involving its employees.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Company does not have any employees subject to U.S. Legal Requirements.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No Company Plan is subject to U.S. Legal Requirements.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To Company’s Knowledge, none of the Key Employees or directors of Company has been (i) subject to voluntary or involuntary petition under laws or any insolvency law or the appointment of a receiver, fiscal agent or similar officer by a court for his business or property; (ii) convicted in a criminal proceeding or named as a subject of a pending criminal proceeding (excluding traffic violations and other minor offenses); (iii) subject to any order, judgment, or decree (not subsequently reversed, suspended, or vacated) of any court of competent jurisdiction permanently or temporarily enjoining him from engaging, or otherwise imposing limits or conditions on his engagement in any securities, investment advisory, banking, insurance, or other type of business or acting as an officer or director of a public company; or (iv) found by a court of competent jurisdiction in a civil action or by the French Market Authority to have violated any securities, commodities, or unfair trade practices law, which such judgment or finding has not been subsequently reversed, suspended, or vacated.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None of the employment policies or practices of Company is currently being audited or investigated by any Governmental Entity. To Company’s Knowledge, Company has been for the last three (3) years in compliance in all material respects with all applicable Legal Requirements, Contracts and policies relating to employment, employment practices, wages, hours and terms and conditions of employment.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3.16. </w:t>
      </w:r>
      <w:r>
        <w:rPr>
          <w:rFonts w:ascii="Times New Roman;Times;Serif" w:hAnsi="Times New Roman;Times;Serif"/>
          <w:b w:val="false"/>
          <w:i/>
          <w:caps w:val="false"/>
          <w:smallCaps w:val="false"/>
          <w:sz w:val="20"/>
        </w:rPr>
        <w:t>Tax Returns and Payments.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Company has timely filed all Tax Returns that it was required to file under applicable Legal Requirements. All such Tax Returns were correct and complete in all material respects. All Taxes due and owing by Company (whether or not shown on any Tax Return) have been paid in full. Company is not currently the beneficiary of any extension of time within which to file any Tax Return. No written claim has ever been made by an authority in a jurisdiction where Company does not file Tax Returns that Company is or may be subject to taxation by that jurisdiction. Company is not subject to Tax in any jurisdiction other than its jurisdiction of incorporation or formation by virtue of having a permanent establishment, other place of business or employees in that jurisdiction. There are no Encumbrances for Taxes upon any of the assets of Company.</w:t>
      </w:r>
    </w:p>
    <w:p>
      <w:pPr>
        <w:pStyle w:val="TextBody"/>
        <w:bidi w:val="0"/>
        <w:spacing w:before="0" w:after="0"/>
        <w:ind w:left="0" w:right="0" w:firstLine="1440"/>
        <w:jc w:val="both"/>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-21-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Company withheld or collected and paid all Taxes that were required to have been withheld or collected and paid in connection with any amounts paid or owing to any employee, independent contractor, creditor, customer, stockholder, or other third party, and has complied with all reporting requirements with respect thereto. Company has complied in all material respects with the requirements of applicable sales and use, value added and goods and services Legal Requirements, including by properly registering therefor, collecting and remitting Taxes required to be collected and remitted by any applicable Legal Requirements or under any written Contract between Company and an applicable Tax Authority, and returning all Taxes erroneously collected from any Person to such Person (or, if such Person cannot be located or is no longer in business, remitting such sales Tax to the appropriate Governmental Entity).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Except as set forth in Section 3.16(c) of the Company Disclosure Letter, no Proceedings relating to Taxes are pending or being conducted with respect to Company. Company has not received from any Governmental Body any (i) written notice indicating an intent to open an audit, examination or other administrative or court proceeding involving Taxes, (ii) written request for information related to Tax matters, or (iii) written notice of deficiency or proposed adjustment of or any amount of Tax proposed, asserted, or assessed by any Governmental Entity against Company which has not been resolved in full.</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To Company’s Knowledge, Company has delivered, or made available, to Purchaser correct and complete copies of all Tax Returns of Company, and all examination reports, and statements of deficiencies assessed against or agreed to by Company filed or received since January 1, 2022.</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Company has not waived any statute of limitations in respect of Taxes or agreed to any extension of time with respect to a Tax assessment or deficiency.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Company has never been a party to nor bound by any Tax allocation, indemnification, sharing or similar agreement under which Purchaser or Company could be liable for any Taxes, in each case other than any Commercial Tax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Company has (i) never been a member of an affiliated, combined, unitary or other similar group for U.S., state, local or foreign income Tax purposes and the Company is not a successor to such a member; and (ii) no Liability for the Taxes of any Person (other than the Company) as a transferee or successor, by Contract other than any Commercial Tax Agreement or under applicable Legal Requirements.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Except the JV, Company has never been a party to any joint venture, partnership or other agreement that could be treated as a partnership for Tax purposes and Company has never had any Subsidiaries.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Neither Purchaser nor Company will be required to include any item of income in, or exclude any item of deduction from, taxable income for any taxable period (or portion thereof) ending after the Closing Date as a result of any: (i) change in method of accounting by the Company for a taxable period ending on or prior to the Closing Date; (ii) “closing agreement” as described in Section 7121 of the Code (or any corresponding or similar provision of state, local or foreign income Tax law) executed by the Company prior to the Closing; (iii) prepaid amount received by the Company prior to the Closing; or (vi) use of an improper method of accounting by the Company for a taxable period ending on or prior to the Closing Date.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Where required by applicable Legal Requirement, Company (i) is registered for VAT purposes, (ii) has made, given, obtained and kept up to date, full and accurate records, invoices and documents appropriate or required for the purposes of VAT and (iii) has complied in all material respects with all applicable VAT legislation and customs Legal Requirements and in particular has filed all returns and made all payments of VAT on a timely basis. All duties, including customs duties, import, and value added Tax that were due and payable to a Governmental Entity in respect of any asset or goods imported or owned by Company have been paid.</w:t>
      </w:r>
    </w:p>
    <w:p>
      <w:pPr>
        <w:pStyle w:val="TextBody"/>
        <w:bidi w:val="0"/>
        <w:spacing w:before="0" w:after="0"/>
        <w:ind w:left="0" w:right="0" w:firstLine="1440"/>
        <w:jc w:val="both"/>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-22-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To Company’s Knowledge, Company is in compliance in all material respects with all applicable transfer pricing laws and regulations, including the execution and maintenance of contemporaneous documentation substantiating the transfer pricing practices and methodology of Company. All intercompany arrangements have been adequately documented, and such documents have been duly executed in a timely manner. To Company’s Knowledge, the prices for any property or services (or for the use of any property) provided by or to Company are arm’s length prices for purposes of all applicable transfer pricing Legal Requirements.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The transactions set forth in this Agreement will not result in any Tax liability of Company under applicable Legal Requirements.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Company is eligible to benefit from the R&amp;D tax credit provided for under article 244 quarter B of the French Tax Code.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Neither the Company nor the JV have made an election under U.S. Treasury regulation section 301.7701-3 by filing Internal Revenue Service Form 8832, Entity Classification Election.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3.17. </w:t>
      </w:r>
      <w:r>
        <w:rPr>
          <w:rFonts w:ascii="Times New Roman;Times;Serif" w:hAnsi="Times New Roman;Times;Serif"/>
          <w:b w:val="false"/>
          <w:i/>
          <w:caps w:val="false"/>
          <w:smallCaps w:val="false"/>
          <w:sz w:val="20"/>
        </w:rPr>
        <w:t>Insurance</w:t>
      </w:r>
      <w:r>
        <w:rPr>
          <w:rFonts w:ascii="Times New Roman;Times;Serif" w:hAnsi="Times New Roman;Times;Serif"/>
          <w:b w:val="false"/>
          <w:i w:val="false"/>
          <w:caps w:val="false"/>
          <w:smallCaps w:val="false"/>
          <w:sz w:val="20"/>
        </w:rPr>
        <w:t>. Company has in full force and effect fire and casualty insurance policies with extended coverage, sufficient in amount (subject to reasonable deductions) to allow it to replace any of its properties that might be damaged or destroyed, together with general liability, errors and omissions, employment practices, directors’ and officers’ liability insurance, key-person insurance and such other policies of insurance as are customary for similarly situated companies. Section 3.17 of Company Disclosure Letter lists all insurance policies currently maintained by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3.18. </w:t>
      </w:r>
      <w:r>
        <w:rPr>
          <w:rFonts w:ascii="Times New Roman;Times;Serif" w:hAnsi="Times New Roman;Times;Serif"/>
          <w:b w:val="false"/>
          <w:i/>
          <w:caps w:val="false"/>
          <w:smallCaps w:val="false"/>
          <w:sz w:val="20"/>
        </w:rPr>
        <w:t>Non-Compete</w:t>
      </w:r>
      <w:r>
        <w:rPr>
          <w:rFonts w:ascii="Times New Roman;Times;Serif" w:hAnsi="Times New Roman;Times;Serif"/>
          <w:b w:val="false"/>
          <w:i w:val="false"/>
          <w:caps w:val="false"/>
          <w:smallCaps w:val="false"/>
          <w:sz w:val="20"/>
        </w:rPr>
        <w:t>. The employment agreements of each of Company’s Key Employees contain non-compete undertakings, as set forth in Section 3.18 of the Company Disclosure Letter.</w:t>
      </w:r>
    </w:p>
    <w:p>
      <w:pPr>
        <w:pStyle w:val="TextBody"/>
        <w:bidi w:val="0"/>
        <w:spacing w:before="0" w:after="0"/>
        <w:ind w:left="180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3.19. </w:t>
      </w:r>
      <w:r>
        <w:rPr>
          <w:rFonts w:ascii="Times New Roman;Times;Serif" w:hAnsi="Times New Roman;Times;Serif"/>
          <w:b w:val="false"/>
          <w:i/>
          <w:caps w:val="false"/>
          <w:smallCaps w:val="false"/>
          <w:sz w:val="20"/>
        </w:rPr>
        <w:t>Permits.</w:t>
      </w:r>
      <w:r>
        <w:rPr>
          <w:rFonts w:ascii="Times New Roman;Times;Serif" w:hAnsi="Times New Roman;Times;Serif"/>
          <w:b w:val="false"/>
          <w:i w:val="false"/>
          <w:caps w:val="false"/>
          <w:smallCaps w:val="false"/>
          <w:sz w:val="20"/>
        </w:rPr>
        <w:t xml:space="preserve"> Company has all franchises, permits, licenses and any similar authority necessary for the conduct of its business, the lack of which would reasonably be expected, individually or in the aggregate, to have a Material Adverse Effect. Company is not in default in any material respect under any of such franchises, permits, licenses or other similar authority.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3.20. </w:t>
      </w:r>
      <w:r>
        <w:rPr>
          <w:rFonts w:ascii="Times New Roman;Times;Serif" w:hAnsi="Times New Roman;Times;Serif"/>
          <w:b w:val="false"/>
          <w:i/>
          <w:caps w:val="false"/>
          <w:smallCaps w:val="false"/>
          <w:sz w:val="20"/>
        </w:rPr>
        <w:t>Corporate Documents</w:t>
      </w:r>
      <w:r>
        <w:rPr>
          <w:rFonts w:ascii="Times New Roman;Times;Serif" w:hAnsi="Times New Roman;Times;Serif"/>
          <w:b w:val="false"/>
          <w:i w:val="false"/>
          <w:caps w:val="false"/>
          <w:smallCaps w:val="false"/>
          <w:sz w:val="20"/>
        </w:rPr>
        <w:t>. The certificate of incorporation of Company (</w:t>
      </w:r>
      <w:r>
        <w:rPr>
          <w:rFonts w:ascii="Times New Roman;Times;Serif" w:hAnsi="Times New Roman;Times;Serif"/>
          <w:b w:val="false"/>
          <w:i/>
          <w:caps w:val="false"/>
          <w:smallCaps w:val="false"/>
          <w:sz w:val="20"/>
        </w:rPr>
        <w:t xml:space="preserve">extrait K-bis) </w:t>
      </w:r>
      <w:r>
        <w:rPr>
          <w:rFonts w:ascii="Times New Roman;Times;Serif" w:hAnsi="Times New Roman;Times;Serif"/>
          <w:b w:val="false"/>
          <w:i w:val="false"/>
          <w:caps w:val="false"/>
          <w:smallCaps w:val="false"/>
          <w:sz w:val="20"/>
        </w:rPr>
        <w:t>and Company Existing Bylaws in effect as at the date hereof are in the form posted in the Company Data Room. The minute books of Company contain minutes of all meetings of directors and stockholders of Company, and all actions by written consent without a meeting by the directors and stockholders of Company, since the date of the formation of Company and accurately reflect in all material respects all actions by the directors (and any committee of directors) and stockholders of Company, respectively, with respect to all transactions referred to in such minutes.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3.21. </w:t>
      </w:r>
      <w:r>
        <w:rPr>
          <w:rFonts w:ascii="Times New Roman;Times;Serif" w:hAnsi="Times New Roman;Times;Serif"/>
          <w:b w:val="false"/>
          <w:i/>
          <w:caps w:val="false"/>
          <w:smallCaps w:val="false"/>
          <w:sz w:val="20"/>
        </w:rPr>
        <w:t>Environmental and Safety Laws</w:t>
      </w:r>
      <w:r>
        <w:rPr>
          <w:rFonts w:ascii="Times New Roman;Times;Serif" w:hAnsi="Times New Roman;Times;Serif"/>
          <w:b w:val="false"/>
          <w:i w:val="false"/>
          <w:caps w:val="false"/>
          <w:smallCaps w:val="false"/>
          <w:sz w:val="20"/>
        </w:rPr>
        <w:t>. Except as would not reasonably be expected, individually or in the aggregate, to have a Material Adverse Effect, (a) to the Company’s Knowledge, the Company is and has been in compliance with all material Environmental Laws applicable to it in the past three (3) years; (b) there has been no release or to Company’s Knowledge threatened release of any pollutant, contaminant or toxic or hazardous material, substance or waste, or petroleum or any fraction thereof, (each, a “</w:t>
      </w:r>
      <w:r>
        <w:rPr>
          <w:rFonts w:ascii="Times New Roman;Times;Serif" w:hAnsi="Times New Roman;Times;Serif"/>
          <w:b w:val="false"/>
          <w:i w:val="false"/>
          <w:caps w:val="false"/>
          <w:smallCaps w:val="false"/>
          <w:sz w:val="20"/>
          <w:u w:val="single"/>
        </w:rPr>
        <w:t>Hazardous Substance</w:t>
      </w:r>
      <w:r>
        <w:rPr>
          <w:rFonts w:ascii="Times New Roman;Times;Serif" w:hAnsi="Times New Roman;Times;Serif"/>
          <w:b w:val="false"/>
          <w:i w:val="false"/>
          <w:caps w:val="false"/>
          <w:smallCaps w:val="false"/>
          <w:sz w:val="20"/>
        </w:rPr>
        <w:t>”) on, upon, into or from any site currently or heretofore owned, leased or otherwise used by Company; (c) to the Company’s Knowledge, there have been no Hazardous Substances generated by Company that have been disposed of or come to rest at any site that has been included in any published Environmental Laws applicable to Company; and (d) there are no underground storage tanks located on, no polychlorinated biphenyls (“</w:t>
      </w:r>
      <w:r>
        <w:rPr>
          <w:rFonts w:ascii="Times New Roman;Times;Serif" w:hAnsi="Times New Roman;Times;Serif"/>
          <w:b w:val="false"/>
          <w:i w:val="false"/>
          <w:caps w:val="false"/>
          <w:smallCaps w:val="false"/>
          <w:sz w:val="20"/>
          <w:u w:val="single"/>
        </w:rPr>
        <w:t>PCBs</w:t>
      </w:r>
      <w:r>
        <w:rPr>
          <w:rFonts w:ascii="Times New Roman;Times;Serif" w:hAnsi="Times New Roman;Times;Serif"/>
          <w:b w:val="false"/>
          <w:i w:val="false"/>
          <w:caps w:val="false"/>
          <w:smallCaps w:val="false"/>
          <w:sz w:val="20"/>
        </w:rPr>
        <w:t>”) or PCB-containing equipment used or stored on any site owned or operated by Company, except for the storage of hazardous waste in compliance with applicable Environmental Laws.</w:t>
      </w:r>
    </w:p>
    <w:p>
      <w:pPr>
        <w:pStyle w:val="TextBody"/>
        <w:bidi w:val="0"/>
        <w:spacing w:before="0" w:after="0"/>
        <w:ind w:left="0" w:right="0" w:firstLine="720"/>
        <w:jc w:val="both"/>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-23-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3.22. </w:t>
      </w:r>
      <w:r>
        <w:rPr>
          <w:rFonts w:ascii="Times New Roman;Times;Serif" w:hAnsi="Times New Roman;Times;Serif"/>
          <w:b w:val="false"/>
          <w:i/>
          <w:caps w:val="false"/>
          <w:smallCaps w:val="false"/>
          <w:sz w:val="20"/>
        </w:rPr>
        <w:t>Obligations of Management</w:t>
      </w:r>
      <w:r>
        <w:rPr>
          <w:rFonts w:ascii="Times New Roman;Times;Serif" w:hAnsi="Times New Roman;Times;Serif"/>
          <w:b w:val="false"/>
          <w:i w:val="false"/>
          <w:caps w:val="false"/>
          <w:smallCaps w:val="false"/>
          <w:sz w:val="20"/>
        </w:rPr>
        <w:t>. To Company’s Knowledge, each Key Employee of Company is currently devoting substantially all of his or her business time to the conduct of the business of Company. To Company’s Knowledge, no officer or Key Employee of Company currently intends to work less than full time at Company in the future, it being understood that any such future change would remain subject to applicable labor laws, employee rights and collective bargaining agreements. To Company’s Knowledge, no officer or Key Employee is currently working or currently intends to work for a competitive enterprise, whether or not such officer or Key Employee is or will be compensated by such enterprise in accordance with applicable labor laws and contractual obligations.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3.23. </w:t>
      </w:r>
      <w:r>
        <w:rPr>
          <w:rFonts w:ascii="Times New Roman;Times;Serif" w:hAnsi="Times New Roman;Times;Serif"/>
          <w:b w:val="false"/>
          <w:i/>
          <w:caps w:val="false"/>
          <w:smallCaps w:val="false"/>
          <w:sz w:val="20"/>
        </w:rPr>
        <w:t>Brokers</w:t>
      </w:r>
      <w:r>
        <w:rPr>
          <w:rFonts w:ascii="Times New Roman;Times;Serif" w:hAnsi="Times New Roman;Times;Serif"/>
          <w:b w:val="false"/>
          <w:i w:val="false"/>
          <w:caps w:val="false"/>
          <w:smallCaps w:val="false"/>
          <w:sz w:val="20"/>
        </w:rPr>
        <w:t>. Except as set forth in Section 3.23 of the Company Disclosure Letter, no Person has or will have any right, interest or claim for any commission, fee or other compensation as a result of or in connection with the completion of the Transactions as a finder or broker because of any act or omission by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3.24. </w:t>
      </w:r>
      <w:r>
        <w:rPr>
          <w:rFonts w:ascii="Times New Roman;Times;Serif" w:hAnsi="Times New Roman;Times;Serif"/>
          <w:b w:val="false"/>
          <w:i/>
          <w:caps w:val="false"/>
          <w:smallCaps w:val="false"/>
          <w:sz w:val="20"/>
        </w:rPr>
        <w:t>Compliance with Laws; Regulatory Matters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To Company’s Knowledge, Company is, and has during the past five years been, in compliance in all material respects with all applicable Legal Requirements, including Legal Requirements relating to exportation of goods and services, securities law matters and Taxes, which affect the business, properties, assets and activities of Company. During the past five years, Company has not received any written notice or other written communication from any Governmental Entity or other Person regarding any actual or possible violation in any material respect of, or failure to comply in any material respect with, any applicable Legal Requirement.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All Company Products that are commercialized at the date hereof (excluding, for the avoidance of doubt, any Company Product currently in development) are in compliance in all material respects with all applicable requirements under applicable Health Care Laws in the jurisdictions in which such currently commercialized Company Products are or have been marketed, sold, distributed, developed, manufactured, labeled, stored, tested and otherwise produced by or on behalf of Company. Section 3.24(b) of the Company Disclosure Letter sets forth a complete and correct list of all Regulatory Authorizations from any Governmental Entity which administers applicable Health Care Laws held by Company, and there are no other Regulatory Authorizations required for Company or the Company Products in connection with the conduct of the business of Company as currently conducted.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Neither Company nor any officer, employee nor, to the Company’s Knowledge, any agent of Company within its/his/her activities conducted on behalf of Company, has made an untrue statement of a material fact or fraudulent statement to any Governmental Entity which administers any applicable Health Care Laws or failed to disclose a material fact required to be disclosed to any such Governmental Entity which administers any such Health Care Laws.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All preclinical and clinical trials in respect of the activities of Company being conducted by or on behalf of Company are being or have been conducted in compliance in all material respects with the required experimental protocols, procedures and controls recognized under applicable Legal Requirements. No clinical trial conducted by or on behalf of Company has been terminated or suspended by the applicable Governmental Entity, and no applicable Governmental Entity has commenced or threatened in writing to initiate, any action to place a clinical hold order on, or otherwise terminate, delay, suspend or materially restrict, any proposed or ongoing clinical trial conducted or proposed to be conducted by or on behalf of any of Company.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No Company Product has been recalled, withdrawn, suspended or discontinued (whether voluntarily or otherwise) or has been the subject of any investigator notices, safety alerts, or other notice of action related to an alleged lack of safety, efficacy, or regulatory compliance. No proceedings (whether completed or pending) seeking the recall, withdrawal, suspension or seizure of any such product or product candidate or Regulatory Authorizations are pending or threatened against Company or any of its Affiliates, nor have any such proceedings been pending at any time. Company has, prior to the execution of this Agreement, provided or made available to Purchaser accurate summaries of all significant adverse events relating to any Company Product. In addition, Company has filed all annual and periodic reports, amendments and safety reports required for any Company Product required to be made to the French Ministry of Health and ANSM.</w:t>
      </w:r>
    </w:p>
    <w:p>
      <w:pPr>
        <w:pStyle w:val="TextBody"/>
        <w:bidi w:val="0"/>
        <w:spacing w:before="0" w:after="0"/>
        <w:ind w:left="0" w:right="0" w:firstLine="1440"/>
        <w:jc w:val="both"/>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-24-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No manufacturing site which assists in the manufacture of a Company Product has been subject to a governmental shutdown or import or export prohibition with respect to a Company Product.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Neither Company nor any employee of Company has been debarred, and, to Company’s Knowledge, no claims, actions, proceedings or investigations that would reasonably be expected to result in such a debarment or exclusion are pending or threatened in writing against any of Company or its officers, employees, or to the Company’s Knowledge, consultants or agents.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Company is not a party to any corporate integrity agreements, deferred prosecution agreements, monitoring agreements, consent decrees, settlement orders, or similar agreements with or imposed by any Governmental Entity.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Company has complied with all applicable laws and regulations with respect to disclosure obligations pursuant to articles L. 1453-1 seq. of the French Public Health Code (regulatory frameworks known as “</w:t>
      </w:r>
      <w:r>
        <w:rPr>
          <w:rFonts w:ascii="Times New Roman;Times;Serif" w:hAnsi="Times New Roman;Times;Serif"/>
          <w:b w:val="false"/>
          <w:i/>
          <w:caps w:val="false"/>
          <w:smallCaps w:val="false"/>
          <w:sz w:val="20"/>
        </w:rPr>
        <w:t>DMOS</w:t>
      </w:r>
      <w:r>
        <w:rPr>
          <w:rFonts w:ascii="Times New Roman;Times;Serif" w:hAnsi="Times New Roman;Times;Serif"/>
          <w:b w:val="false"/>
          <w:i w:val="false"/>
          <w:caps w:val="false"/>
          <w:smallCaps w:val="false"/>
          <w:sz w:val="20"/>
        </w:rPr>
        <w:t>” and “</w:t>
      </w:r>
      <w:r>
        <w:rPr>
          <w:rFonts w:ascii="Times New Roman;Times;Serif" w:hAnsi="Times New Roman;Times;Serif"/>
          <w:b w:val="false"/>
          <w:i/>
          <w:caps w:val="false"/>
          <w:smallCaps w:val="false"/>
          <w:sz w:val="20"/>
        </w:rPr>
        <w:t>Transparency</w:t>
      </w:r>
      <w:r>
        <w:rPr>
          <w:rFonts w:ascii="Times New Roman;Times;Serif" w:hAnsi="Times New Roman;Times;Serif"/>
          <w:b w:val="false"/>
          <w:i w:val="false"/>
          <w:caps w:val="false"/>
          <w:smallCaps w:val="false"/>
          <w:sz w:val="20"/>
        </w:rPr>
        <w:t>”).</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Article IV</w:t>
      </w:r>
      <w:r>
        <w:rPr>
          <w:rFonts w:ascii="Times New Roman;Times;Serif" w:hAnsi="Times New Roman;Times;Serif"/>
          <w:b/>
          <w:i w:val="false"/>
          <w:caps w:val="false"/>
          <w:smallCaps w:val="false"/>
          <w:sz w:val="20"/>
        </w:rPr>
        <w:br/>
        <w:br/>
      </w:r>
      <w:r>
        <w:rPr>
          <w:rFonts w:ascii="Times New Roman;Times;Serif" w:hAnsi="Times New Roman;Times;Serif"/>
          <w:b/>
          <w:i w:val="false"/>
          <w:caps/>
          <w:sz w:val="20"/>
        </w:rPr>
        <w:t xml:space="preserve">REPRESENTATIONS AND WARRANTIES OF THE </w:t>
      </w:r>
      <w:r>
        <w:rPr>
          <w:rFonts w:ascii="Times New Roman;Times;Serif" w:hAnsi="Times New Roman;Times;Serif"/>
          <w:b/>
          <w:i w:val="false"/>
          <w:caps w:val="false"/>
          <w:smallCaps w:val="false"/>
          <w:sz w:val="20"/>
        </w:rPr>
        <w:t>SELLERS</w:t>
      </w:r>
    </w:p>
    <w:p>
      <w:pPr>
        <w:pStyle w:val="TextBody"/>
        <w:bidi w:val="0"/>
        <w:spacing w:before="0" w:after="0"/>
        <w:ind w:left="0" w:right="0" w:hanging="0"/>
        <w:jc w:val="center"/>
        <w:rPr>
          <w:caps/>
        </w:rPr>
      </w:pPr>
      <w:r>
        <w:rPr>
          <w:caps/>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material inducement to Purchaser to enter into this Agreement and to consummate the Transactions, each Seller (severally and not jointly) represents and warrants as to such Seller to Purchaser as set forth in this Article IV.</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4.1. </w:t>
      </w:r>
      <w:r>
        <w:rPr>
          <w:rFonts w:ascii="Times New Roman;Times;Serif" w:hAnsi="Times New Roman;Times;Serif"/>
          <w:b w:val="false"/>
          <w:i/>
          <w:caps w:val="false"/>
          <w:smallCaps w:val="false"/>
          <w:sz w:val="20"/>
        </w:rPr>
        <w:t>Ownership</w:t>
      </w:r>
      <w:r>
        <w:rPr>
          <w:rFonts w:ascii="Times New Roman;Times;Serif" w:hAnsi="Times New Roman;Times;Serif"/>
          <w:b w:val="false"/>
          <w:i w:val="false"/>
          <w:caps w:val="false"/>
          <w:smallCaps w:val="false"/>
          <w:sz w:val="20"/>
        </w:rPr>
        <w:t>. Such Seller is or will be immediately prior to Closing the true and lawful owner, of record and beneficially, of such Seller’s Sold Securities, as set forth opposite its name in Section 4.1 of the Company Disclosure Letter, free and clear of any Encumbrances (subject to transfer restrictions provided in Company Shareholders’ Agreements). Except under the Company Shareholders’ Agreements, and the Transaction Documents to which he/she/it is a party, such Seller has not sold, transferred, assigned, pledged, encumbered, or granted any right of first offer, right of first refusal or other similar right in any such Seller’s Sold Securities, or agreed, committed, resolved or otherwise incurred any obligation to sell, transfer, assign, pledge, encumber or grant any right of first offer, right of first refusal or other similar right with respect to such Seller’s Sold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4.2. </w:t>
      </w:r>
      <w:r>
        <w:rPr>
          <w:rFonts w:ascii="Times New Roman;Times;Serif" w:hAnsi="Times New Roman;Times;Serif"/>
          <w:b w:val="false"/>
          <w:i/>
          <w:caps w:val="false"/>
          <w:smallCaps w:val="false"/>
          <w:sz w:val="20"/>
        </w:rPr>
        <w:t>Capacity</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Such Seller has the power, legal capacity and authority at the date hereof, and will have at the date of Closing, to enter into, comply with and perform all of such Seller’s covenants and obligations under the Transaction Documents to which such Seller is or may become a party. The Transaction Documents, when executed and delivered by such Seller, constitute legal, valid and binding obligations of such Seller, enforceable against such Seller in accordance with their respective terms, subject to (i) laws of general application relating to bankruptcy, insolvency and the relief of debtors, and (ii) rules of law governing specific performance, injunctive relief and other equitable remedies.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Such Seller is not subject to any order that may have an adverse effect on such Seller’s ability to comply with or perform any of such Seller’s covenants or obligations under the Transaction Documents.</w:t>
      </w:r>
    </w:p>
    <w:p>
      <w:pPr>
        <w:pStyle w:val="TextBody"/>
        <w:bidi w:val="0"/>
        <w:spacing w:before="0" w:after="0"/>
        <w:ind w:left="0" w:right="0" w:firstLine="1440"/>
        <w:jc w:val="both"/>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-25-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4.3. </w:t>
      </w:r>
      <w:r>
        <w:rPr>
          <w:rFonts w:ascii="Times New Roman;Times;Serif" w:hAnsi="Times New Roman;Times;Serif"/>
          <w:b w:val="false"/>
          <w:i/>
          <w:caps w:val="false"/>
          <w:smallCaps w:val="false"/>
          <w:sz w:val="20"/>
        </w:rPr>
        <w:t>No Conflicts; Consents.</w:t>
      </w:r>
      <w:r>
        <w:rPr>
          <w:rFonts w:ascii="Times New Roman;Times;Serif" w:hAnsi="Times New Roman;Times;Serif"/>
          <w:b w:val="false"/>
          <w:i w:val="false"/>
          <w:caps w:val="false"/>
          <w:smallCaps w:val="false"/>
          <w:sz w:val="20"/>
        </w:rPr>
        <w:t xml:space="preserve"> As of the date hereof and as of the Closing Date, the execution, delivery, and performance by each Seller of the Transaction Documents to which it is a party, and the consummation of the Transactions, do not and will not: (a) conflict with or result in a violation or breach of any provision of the Organizational Documents of such Seller; (b) result in a violation or breach of any provision of any Law or order applicable to such Seller. No consent, permit, order, declaration, or filing with, or notice to, any Person or Governmental Entity is required by or with respect to such Seller in connection with the execution and delivery of any Transaction Document to which it is a party and the consummation of the Transactions.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4.4. </w:t>
      </w:r>
      <w:r>
        <w:rPr>
          <w:rFonts w:ascii="Times New Roman;Times;Serif" w:hAnsi="Times New Roman;Times;Serif"/>
          <w:b w:val="false"/>
          <w:i/>
          <w:caps w:val="false"/>
          <w:smallCaps w:val="false"/>
          <w:sz w:val="20"/>
        </w:rPr>
        <w:t>No Proceedings</w:t>
      </w:r>
      <w:r>
        <w:rPr>
          <w:rFonts w:ascii="Times New Roman;Times;Serif" w:hAnsi="Times New Roman;Times;Serif"/>
          <w:b w:val="false"/>
          <w:i w:val="false"/>
          <w:caps w:val="false"/>
          <w:smallCaps w:val="false"/>
          <w:sz w:val="20"/>
        </w:rPr>
        <w:t>. There is no Proceeding pending, and no Person has threatened to commence any Proceeding, that may have an adverse effect on the ability of such Seller to comply with or perform any of such Seller’s covenants or obligations under the Transaction Documents. To such Seller’s knowledge, no event has occurred, and no claim, dispute or other condition or circumstance exists, that could reasonably be expected to directly or indirectly give rise to or serve as a basis for the commencement of any such Proceeding.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4.5. </w:t>
      </w:r>
      <w:r>
        <w:rPr>
          <w:rFonts w:ascii="Times New Roman;Times;Serif" w:hAnsi="Times New Roman;Times;Serif"/>
          <w:b w:val="false"/>
          <w:i/>
          <w:caps w:val="false"/>
          <w:smallCaps w:val="false"/>
          <w:sz w:val="20"/>
        </w:rPr>
        <w:t>No Continuing Rights</w:t>
      </w:r>
      <w:r>
        <w:rPr>
          <w:rFonts w:ascii="Times New Roman;Times;Serif" w:hAnsi="Times New Roman;Times;Serif"/>
          <w:b w:val="false"/>
          <w:i w:val="false"/>
          <w:caps w:val="false"/>
          <w:smallCaps w:val="false"/>
          <w:sz w:val="20"/>
        </w:rPr>
        <w:t>. Such Seller acknowledges that, immediately following the Closing, except pursuant to the Transaction Documents, (a) such Seller shall have no rights with respect to the Sold Securities, including as a shareholder or security holder of Company with respect to any future sale, acquisition, merger, liquidation, dissolution or other corporate event regarding Company or its assets, (b) such Seller shall have no remaining rights pursuant to the Company Shareholders’ Agreements, terminated as at the Closing Date, (c) Company has no outstanding Indebtedness to such Seller, and (d) such Seller shall have no right to employment with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4.6. </w:t>
      </w:r>
      <w:r>
        <w:rPr>
          <w:rFonts w:ascii="Times New Roman;Times;Serif" w:hAnsi="Times New Roman;Times;Serif"/>
          <w:b w:val="false"/>
          <w:i/>
          <w:caps w:val="false"/>
          <w:smallCaps w:val="false"/>
          <w:sz w:val="20"/>
        </w:rPr>
        <w:t>Investment Representations.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Such Seller is aware that the Purchaser Common Stock and/or Purchaser Warrants issued pursuant to this Agreement may not be registered under the Securities Act at the time of issuance and, if not so registered, may constitute “restricted securities” under Rule 144 promulgated under the Securities Act. Such Seller also understands that such securities may be offered and sold pursuant to an exemption from registration under the Securities Act based in part upon such Seller’s representations contained in this Article IV.</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Such Seller is obtaining the Purchaser Common Stock and/or Purchaser Warrants issued pursuant to this Agreement for its own account and has no present intention of distributing or selling such Purchaser Common Stock except as permitted under the Securities Act, applicable state securities Laws ; provided, however, that the foregoing shall not restrict or be construed to limit any such Seller’s ability to sell Registrable Securities pursuant to an effective Registration Statement filed in accordance with Section 6.10of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Such Seller that is a Regulation S Seller (as defined below) has had access to such publicly available information regarding Purchaser as it has deemed necessary or appropriate in connection with its receipt of the Purchaser Common Stock and/or Purchaser Warrants, and has had the opportunity to ask questions of, and receive answers from, representatives of Purchaser concerning Purchaser and the terms of the transactions contemplated hereby, and to consult with its own legal, tax, financial, and other advisors to the extent it has deemed appropriate. Such Seller that is not a Regulation S Seller (each, a “</w:t>
      </w:r>
      <w:r>
        <w:rPr>
          <w:rFonts w:ascii="Times New Roman;Times;Serif" w:hAnsi="Times New Roman;Times;Serif"/>
          <w:b w:val="false"/>
          <w:i w:val="false"/>
          <w:caps w:val="false"/>
          <w:smallCaps w:val="false"/>
          <w:sz w:val="20"/>
          <w:u w:val="single"/>
        </w:rPr>
        <w:t>Regulation D Seller</w:t>
      </w:r>
      <w:r>
        <w:rPr>
          <w:rFonts w:ascii="Times New Roman;Times;Serif" w:hAnsi="Times New Roman;Times;Serif"/>
          <w:b w:val="false"/>
          <w:i w:val="false"/>
          <w:caps w:val="false"/>
          <w:smallCaps w:val="false"/>
          <w:sz w:val="20"/>
        </w:rPr>
        <w:t>”) either (i) has sufficient knowledge and experience in financial and business matters, alone or together with its Purchaser Representative (as defined in Rule 501 of Regulation D), such that it is capable of evaluating the merits and risks of the prospective investment in Purchaser Common Stock and/or Purchaser Warrants, or (ii) has appointed a Purchaser Representative, acknowledged in writing during the course of the transaction, who together with such Seller is capable of evaluating the merits and risks of such investment.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Such Regulation S Seller has had the opportunity to consult with legal, financial, tax, and other advisors of its own choosing in connection with its receipt of the Purchaser Common Stock and/or Purchaser Warrants to the extent it has deemed appropriate to protect its interests in connection with the transactions contemplated hereby. Such Regulation D Seller either (i) by virtue of its own business or financial expertise, has the capacity to protect its own interests in connection with the issuance of the Purchaser Common Stock and/or Purchaser Warrants, or (ii) has appointed a Purchaser Representative who, together with such Seller, has the capacity to protect such Seller’s interests in connection with such issuance.</w:t>
      </w:r>
    </w:p>
    <w:p>
      <w:pPr>
        <w:pStyle w:val="TextBody"/>
        <w:bidi w:val="0"/>
        <w:spacing w:before="0" w:after="0"/>
        <w:ind w:left="0" w:right="0" w:firstLine="1440"/>
        <w:jc w:val="both"/>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-26-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Such Seller understands that the Purchaser Common Stock and/or Purchaser Warrants issued pursuant to this Agreement may not be transferred or resold except (i) pursuant to an effective registration statement under the Securities Act, (ii) pursuant to Rule 144 under the Securities Act, or (iii) pursuant to another available exemption from registration under the Securities Act. Such Seller acknowledges that Purchaser has agreed to file a resale registration statement with respect to such securities pursuant to Section 6.10 of this Agreement and that any transfer of such securities will remain subject to the resale limitations set forth in the Resale Organization Agreement and applicable securities laws. Such Seller has been advised or is aware of the provisions of Rule 144, as in effect from time to time, which permit limited resale of shares purchased in a private placement subject to the satisfaction of certain conditions, including, among other things, the availability of certain current public information about Purchaser, the resale occurring following the required holding period under Rule 144, and the number of shares being sold during any three-month period not exceeding specified limitations; provided, however, that the volume limitations and other conditions of Rule 144 shall not apply to sales of Registrable Securities made pursuant to an effective Registration Statement in accordance with Section 6.14 of this Agreement. Such Seller further understands and agrees that an appropriate restrictive legend will be placed on any certificates issued representing shares to be issued pursuant to this Agreement and appropriate stop transfer instructions will be placed with Purchaser’s transfer agent with respect to the transfer of shares issued pursuant to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Each Seller represents, except for the completion of ODI Registrations applicable to the ODI Shareholders, as to such Seller, that the issuance of the Purchaser Common Stock and/or Purchaser Warrants pursuant to this Agreement is not in violation in any material respect of applicable Laws of such Seller’s jurisdiction of residence, including (i) the legal requirements within its jurisdiction for the receipt of such Purchaser Common Stock and/or Purchaser Warrants, (ii) any foreign exchange restrictions applicable to such acquisition, (iii) any government or other Consents that it may need to obtain in connection with such acquisition, and (iv) the Income Tax and other Tax consequences, if any, that may be relevant for it with respect to the purchase, holding, redemption, sale or transfer of such Purchaser Common Stock and/or Purchaser Warrants.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Such Seller either is (x) an “accredited investor” (as defined in Regulation D promulgated under the Securities Act) or (y) not a “U.S. person” within the meaning of Rule 902 of Regulation S of the Securities Act and is not acquiring Purchaser Common Stock pursuant to this Agreement for the account or benefit of any U.S. Person within the meaning of Rule 902 of Regulation S of the Securities Act (each such Seller, a “</w:t>
      </w:r>
      <w:r>
        <w:rPr>
          <w:rFonts w:ascii="Times New Roman;Times;Serif" w:hAnsi="Times New Roman;Times;Serif"/>
          <w:b w:val="false"/>
          <w:i w:val="false"/>
          <w:caps w:val="false"/>
          <w:smallCaps w:val="false"/>
          <w:sz w:val="20"/>
          <w:u w:val="single"/>
        </w:rPr>
        <w:t>Regulation S Seller</w:t>
      </w:r>
      <w:r>
        <w:rPr>
          <w:rFonts w:ascii="Times New Roman;Times;Serif" w:hAnsi="Times New Roman;Times;Serif"/>
          <w:b w:val="false"/>
          <w:i w:val="false"/>
          <w:caps w:val="false"/>
          <w:smallCaps w:val="false"/>
          <w:sz w:val="20"/>
        </w:rPr>
        <w:t>”). Prior to the date of Closing, each Seller shall represent to the Company whether the Seller is a Regulation S Seller or a Regulation D Seller (and, for each Regulation D Seller, whether such Seller is an accredited investor, provided that if there are more than 35 non-accredited investors, Purchaser may issue cash in lieu of Purchaser Common Stock to such non-accredited investor Regulation D Seller). Such Regulation S Seller further represents that (i) it was not located in the United States at the time the offer to receive the Purchaser Common Stock and/or Purchaser Warrants was made or accepted, (ii) it is acquiring such securities in an offshore transaction within the meaning of Regulation S, (iii) it is not acquiring such securities for the account or benefit of any U.S. Person, and (iv)the Purchaser Common Stock and/or Purchaser Warrants constitute equity securities of a domestic reporting issuer and are therefore subject to a distribution compliance period of six (6) months from the date of issuance of such securities pursuant to Rule 903(b)(3) of Regulation S, during which period it shall not offer or sell such securities to a U.S. person or for the account or benefit of a U.S. person, and shall not engage in any hedging transactions with respect to such securities unless in compliance with the Securities Act, (v) it agrees to resell such securities only (A) in accordance with the provisions of Regulation S, (B) pursuant to an effective registration statement under the Securities Act, or (C) pursuant to an available exemption from the registration requirements of the Securities Act, and (vi) it has not engaged and will not engage, directly or indirectly, in any directed selling efforts (as defined in Rule 902 of Regulation S) with respect to the Purchaser Common Stock and/or Purchaser Warrants..</w:t>
      </w:r>
    </w:p>
    <w:p>
      <w:pPr>
        <w:pStyle w:val="TextBody"/>
        <w:bidi w:val="0"/>
        <w:spacing w:before="0" w:after="0"/>
        <w:ind w:left="0" w:right="0" w:firstLine="1440"/>
        <w:jc w:val="both"/>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-27-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Such Seller understands that the shares of Purchaser Common Stock to be received by it in connection with the transactions contemplated by this Agreement may be notated with one or more of the following legends: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 </w:t>
      </w:r>
      <w:r>
        <w:rPr>
          <w:rFonts w:ascii="Times New Roman;Times;Serif" w:hAnsi="Times New Roman;Times;Serif"/>
          <w:b w:val="false"/>
          <w:i w:val="false"/>
          <w:caps w:val="false"/>
          <w:smallCaps w:val="false"/>
          <w:sz w:val="20"/>
        </w:rPr>
        <w:t>“THE SECURITIES REPRESENTED HEREBY HAVE NOT BEEN REGISTERED UNDER THE SECURITIES ACT OF 1933, AS AMENDED, AND HAVE BEEN ACQUIRED FOR INVESTMENT AND NOT WITH A VIEW TO, OR IN CONNECTION WITH, THE SALE OR DISTRIBUTION THEREOF. NO SUCH TRANSFER MAY BE EFFECTED WITHOUT AN EFFECTIVE REGISTRATION STATEMENT RELATED THERETO OR AN OPINION OF COUNSEL IN A FORM SATISFACTORY TO THE COMPANY THAT SUCH REGISTRATION IS NOT REQUIRED UNDER THE SECURITIES ACT OF 1933, AS AMENDED.”;</w:t>
      </w:r>
    </w:p>
    <w:p>
      <w:pPr>
        <w:pStyle w:val="TextBody"/>
        <w:bidi w:val="0"/>
        <w:spacing w:before="0" w:after="0"/>
        <w:ind w:left="2880" w:right="0" w:hanging="0"/>
        <w:jc w:val="both"/>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(2) </w:t>
      </w:r>
      <w:r>
        <w:rPr>
          <w:rFonts w:ascii="Times New Roman;Times;Serif" w:hAnsi="Times New Roman;Times;Serif"/>
          <w:b w:val="false"/>
          <w:i w:val="false"/>
          <w:caps w:val="false"/>
          <w:smallCaps w:val="false"/>
          <w:sz w:val="20"/>
        </w:rPr>
        <w:t>THE SECURITIES REPRESENTED HEREBY HAVE NOT BEEN REGISTERED UNDER THE SECURITIES ACT OF 1933, AS AMENDED (THE “SECURITIES ACT”). THE SECURITIES HAVE BEEN ISSUED PURSUANT TO REGULATION S UNDER THE SECURITIES ACT AND MAY NOT BE OFFERED, SOLD, PLEDGED OR OTHERWISE TRANSFERRED EXCEPT (A) IN ACCORDANCE WITH THE PROVISIONS OF REGULATION S, (B) PURSUANT TO AN EFFECTIVE REGISTRATION STATEMENT UNDER THE SECURITIES ACT, OR (C) PURSUANT TO AN AVAILABLE EXEMPTION FROM THE REGISTRATION REQUIREMENTS OF THE SECURITIES ACT, IN EACH CASE IN ACCORDANCE WITH ANY APPLICABLE STATE SECURITIES LAWS; and</w:t>
      </w:r>
    </w:p>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(3) </w:t>
      </w:r>
      <w:r>
        <w:rPr>
          <w:rFonts w:ascii="Times New Roman;Times;Serif" w:hAnsi="Times New Roman;Times;Serif"/>
          <w:b w:val="false"/>
          <w:i w:val="false"/>
          <w:caps w:val="false"/>
          <w:smallCaps w:val="false"/>
          <w:sz w:val="20"/>
        </w:rPr>
        <w:t>any legend required by applicable securities Laws to the extent such Laws are applicable to the shares of Purchaser Common Stock or Purchaser Warrants represented by the certificate, instrument, or book entry so legended.</w:t>
      </w:r>
    </w:p>
    <w:p>
      <w:pPr>
        <w:pStyle w:val="TextBody"/>
        <w:bidi w:val="0"/>
        <w:spacing w:before="0" w:after="0"/>
        <w:ind w:left="0" w:right="0" w:firstLine="288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Such Seller is located at the address set forth next to such Seller’s name on Section 4.6(i) of Company Disclosure Letter.</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Article V</w:t>
      </w:r>
      <w:r>
        <w:rPr>
          <w:rFonts w:ascii="Times New Roman;Times;Serif" w:hAnsi="Times New Roman;Times;Serif"/>
          <w:b/>
          <w:i w:val="false"/>
          <w:caps w:val="false"/>
          <w:smallCaps w:val="false"/>
          <w:sz w:val="20"/>
        </w:rPr>
        <w:br/>
        <w:br/>
      </w:r>
      <w:r>
        <w:rPr>
          <w:rFonts w:ascii="Times New Roman;Times;Serif" w:hAnsi="Times New Roman;Times;Serif"/>
          <w:b/>
          <w:i w:val="false"/>
          <w:caps/>
          <w:sz w:val="20"/>
        </w:rPr>
        <w:t>REPRESENTATIONS AND WARRANTIES OF PURCHASER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material inducement to Company and each Seller to enter into this Agreement and to consummate the Transactions, Purchaser represents and warrants to the Sellers with respect to Purchaser that the representations and warranties set forth in this Article V are true and accurate as at the date hereof and as of the Closing Date (except for representations and warranties that speak as of a specific date, which shall be true and accurate as of such date). The representations and warranties set forth in this Article V are qualified by the Purchaser Disclosure Letter, which Purchaser Disclosure Letter shall be arranged in sections corresponding to the numbered and lettered sections and subsections contained in this Article V, and the disclosures in any section or subsection of the Purchaser Disclosure Letter shall qualify other sections and subsections in this Article V only to the extent it is reasonably apparent from a reading of the disclosure that such disclosure is applicable to such other sections and subsections.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5.1. </w:t>
      </w:r>
      <w:r>
        <w:rPr>
          <w:rFonts w:ascii="Times New Roman;Times;Serif" w:hAnsi="Times New Roman;Times;Serif"/>
          <w:b w:val="false"/>
          <w:i/>
          <w:caps w:val="false"/>
          <w:smallCaps w:val="false"/>
          <w:sz w:val="20"/>
        </w:rPr>
        <w:t>Organization, Good Standing, Authority.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Purchaser is a corporation that was duly organized, is validly existing, and in good standing (if the concept of good standing applies) under the Laws of the State of Delaware.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Purchaser has full corporate power and authority at the date hereof, and will have at the date of Closing, to enter into, comply with and perform all of Purchaser’s covenants and obligations under each Transaction Document to which it is a party, to carry out its obligations under such Transaction Documents, and to consummate the Transactions. The execution and delivery by Purchaser of each Transaction Document to which it is a party, the performance by Purchaser of its obligations under such Transaction Documents, and the consummation by Purchaser of the Transactions have been duly authorized by all requisite corporate action on the part of Purchaser. The Transaction Documents, when executed and delivered by Purchaser, constitute legal, valid, and binding obligations of Purchaser, enforceable against Purchaser in accordance with their respective terms, except as such enforceability may be limited by the Remedies Exception.</w:t>
      </w:r>
    </w:p>
    <w:p>
      <w:pPr>
        <w:pStyle w:val="TextBody"/>
        <w:bidi w:val="0"/>
        <w:spacing w:before="0" w:after="0"/>
        <w:ind w:left="0" w:right="0" w:firstLine="1440"/>
        <w:jc w:val="both"/>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-28-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5.2. </w:t>
      </w:r>
      <w:r>
        <w:rPr>
          <w:rFonts w:ascii="Times New Roman;Times;Serif" w:hAnsi="Times New Roman;Times;Serif"/>
          <w:b w:val="false"/>
          <w:i/>
          <w:caps w:val="false"/>
          <w:smallCaps w:val="false"/>
          <w:sz w:val="20"/>
        </w:rPr>
        <w:t>No Conflicts; Consents.</w:t>
      </w:r>
      <w:r>
        <w:rPr>
          <w:rFonts w:ascii="Times New Roman;Times;Serif" w:hAnsi="Times New Roman;Times;Serif"/>
          <w:b w:val="false"/>
          <w:i w:val="false"/>
          <w:caps w:val="false"/>
          <w:smallCaps w:val="false"/>
          <w:sz w:val="20"/>
        </w:rPr>
        <w:t xml:space="preserve"> As of the date hereof and as of the Closing Date, the execution, delivery, and performance by Purchaser of the Transaction Documents to which it is a party, and the consummation of the Transactions, do not and will not: (a) conflict with or result in a violation or breach of any provision of the Organizational Documents of Purchaser; (b) result in a violation or breach of any provision of any Law or order applicable to Purchaser. No consent, permit, order, declaration, or filing with, or notice to, any Person or Governmental Entity is required by or with respect to Purchaser in connection with the execution and delivery of any Transaction Document to which it is a party and the consummation of the Transactions except for the FDI Clearance.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5.3. </w:t>
      </w:r>
      <w:r>
        <w:rPr>
          <w:rFonts w:ascii="Times New Roman;Times;Serif" w:hAnsi="Times New Roman;Times;Serif"/>
          <w:b w:val="false"/>
          <w:i/>
          <w:caps w:val="false"/>
          <w:smallCaps w:val="false"/>
          <w:sz w:val="20"/>
        </w:rPr>
        <w:t>Investment Purpose.</w:t>
      </w:r>
      <w:r>
        <w:rPr>
          <w:rFonts w:ascii="Times New Roman;Times;Serif" w:hAnsi="Times New Roman;Times;Serif"/>
          <w:b w:val="false"/>
          <w:i w:val="false"/>
          <w:caps w:val="false"/>
          <w:smallCaps w:val="false"/>
          <w:sz w:val="20"/>
        </w:rPr>
        <w:t xml:space="preserve"> Purchaser is acquiring the Sold Securities solely for its own account for investment purposes and not with a view to, or for offer or sale in connection with, any distribution thereof. Purchaser acknowledges that the Sold Securities are not registered under the Securities Act, as amended, or any state securities laws, and that the Sold Securities may not be transferred or sold except pursuant to the registration provisions of the Securities Act or pursuant to an applicable exemption therefrom and subject to state securities laws and regulations, as applicable. Purchaser is able to bear the economic risk of holding the Sold Securities for an indefinite period (including total loss of its investment) and has sufficient knowledge and experience in financial and business matters so as to be capable of evaluating the merits and risk of its investment.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5.4. </w:t>
      </w:r>
      <w:r>
        <w:rPr>
          <w:rFonts w:ascii="Times New Roman;Times;Serif" w:hAnsi="Times New Roman;Times;Serif"/>
          <w:b w:val="false"/>
          <w:i/>
          <w:caps w:val="false"/>
          <w:smallCaps w:val="false"/>
          <w:sz w:val="20"/>
        </w:rPr>
        <w:t>SEC Reports</w:t>
      </w:r>
      <w:r>
        <w:rPr>
          <w:rFonts w:ascii="Times New Roman;Times;Serif" w:hAnsi="Times New Roman;Times;Serif"/>
          <w:b w:val="false"/>
          <w:i w:val="false"/>
          <w:caps w:val="false"/>
          <w:smallCaps w:val="false"/>
          <w:sz w:val="20"/>
        </w:rPr>
        <w:t>. Accurate and complete copies of each report, registration statement, prospectus, schedule, form, statement, and definitive proxy statement that Purchaser has filed with the SEC in the 12-month period preceding the date of this Agreement (collectively, the “</w:t>
      </w:r>
      <w:r>
        <w:rPr>
          <w:rFonts w:ascii="Times New Roman;Times;Serif" w:hAnsi="Times New Roman;Times;Serif"/>
          <w:b w:val="false"/>
          <w:i w:val="false"/>
          <w:caps w:val="false"/>
          <w:smallCaps w:val="false"/>
          <w:sz w:val="20"/>
          <w:u w:val="single"/>
        </w:rPr>
        <w:t>SEC Reports</w:t>
      </w:r>
      <w:r>
        <w:rPr>
          <w:rFonts w:ascii="Times New Roman;Times;Serif" w:hAnsi="Times New Roman;Times;Serif"/>
          <w:b w:val="false"/>
          <w:i w:val="false"/>
          <w:caps w:val="false"/>
          <w:smallCaps w:val="false"/>
          <w:sz w:val="20"/>
        </w:rPr>
        <w:t>”) have been filed through the SEC EDGAR system. As of the time it was filed with the SEC by Purchaser: (a) each SEC Report was timely filed and complied in all material respects with the applicable requirements of the Securities Act and the rules and regulations promulgated thereunder or the Exchange Act and the rules and regulations promulgated thereunder (as the case may be), and (b) none of the SEC Reports contained any untrue statement of a material fact or omitted to state a material fact required to be stated therein or necessary in order to make the statements made therein, in light of the circumstances under which they were made, not misleading. Neither Purchaser nor any of its consolidated or unconsolidated Subsidiaries have, since the end of the last fiscal year for which certified financial statements of Purchaser and its consolidated Subsidiaries were included in a report filed pursuant to Section 13(a) or 15(d) of the Exchange Act: (x) failed to pay any dividend or sinking fund installment on preferred stock; or (y) defaulted (i) on any installment or installments on indebtedness for borrowed money, or (ii) on any rental on one or more long term leases, which defaults in the aggregate are material to the financial position of the registrant and its consolidated and unconsolidated Subsidiaries, taken as a whole.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5.5. </w:t>
      </w:r>
      <w:r>
        <w:rPr>
          <w:rFonts w:ascii="Times New Roman;Times;Serif" w:hAnsi="Times New Roman;Times;Serif"/>
          <w:b w:val="false"/>
          <w:i/>
          <w:caps w:val="false"/>
          <w:smallCaps w:val="false"/>
          <w:sz w:val="20"/>
        </w:rPr>
        <w:t>Purchaser Common Stock</w:t>
      </w:r>
      <w:r>
        <w:rPr>
          <w:rFonts w:ascii="Times New Roman;Times;Serif" w:hAnsi="Times New Roman;Times;Serif"/>
          <w:b w:val="false"/>
          <w:i w:val="false"/>
          <w:caps w:val="false"/>
          <w:smallCaps w:val="false"/>
          <w:sz w:val="20"/>
        </w:rPr>
        <w:t>. Upon issuance, the Purchaser Common Stock and/or Purchaser Warrants issued as Upfront Stock Consideration or in respect of Earnout Consideration will be duly authorized, validly issued, fully paid and non-assessable and will not be subject to any option, call, preemptive, subscription or similar rights or Encumbrances, other than Permitted Encumbrances and restrictions on transfer imposed by state and federal securities Laws.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5.6. </w:t>
      </w:r>
      <w:r>
        <w:rPr>
          <w:rFonts w:ascii="Times New Roman;Times;Serif" w:hAnsi="Times New Roman;Times;Serif"/>
          <w:b w:val="false"/>
          <w:i/>
          <w:caps w:val="false"/>
          <w:smallCaps w:val="false"/>
          <w:sz w:val="20"/>
        </w:rPr>
        <w:t>Financial Statements.</w:t>
      </w:r>
      <w:r>
        <w:rPr>
          <w:rFonts w:ascii="Times New Roman;Times;Serif" w:hAnsi="Times New Roman;Times;Serif"/>
          <w:b w:val="false"/>
          <w:i w:val="false"/>
          <w:caps w:val="false"/>
          <w:smallCaps w:val="false"/>
          <w:sz w:val="20"/>
        </w:rPr>
        <w:t xml:space="preserve"> Purchaser’s financial statements set forth in the SEC Reports filed since January 1, 2024 (the “</w:t>
      </w:r>
      <w:r>
        <w:rPr>
          <w:rFonts w:ascii="Times New Roman;Times;Serif" w:hAnsi="Times New Roman;Times;Serif"/>
          <w:b w:val="false"/>
          <w:i w:val="false"/>
          <w:caps w:val="false"/>
          <w:smallCaps w:val="false"/>
          <w:sz w:val="20"/>
          <w:u w:val="single"/>
        </w:rPr>
        <w:t>Purchaser Financial Statements</w:t>
      </w:r>
      <w:r>
        <w:rPr>
          <w:rFonts w:ascii="Times New Roman;Times;Serif" w:hAnsi="Times New Roman;Times;Serif"/>
          <w:b w:val="false"/>
          <w:i w:val="false"/>
          <w:caps w:val="false"/>
          <w:smallCaps w:val="false"/>
          <w:sz w:val="20"/>
        </w:rPr>
        <w:t>”) have been prepared in accordance with GAAP (except as may be indicated in any notes thereto). Each balance sheet in the Purchaser Financial Statements is accurate and complete in all material respects and fairly presents in all material respects the financial condition of Purchaser as of its respective date. Each statement of income and cash flows in the Purchaser Financial Statements is accurate and complete in all material respects and fairly presents in all material respects the results of operations and cash flows, respectively, of the Purchaser for the periods covered thereby. Notwithstanding the foregoing, the interim Purchaser Financial Statements (i.e., Purchaser Financial Statement as of a period other than a fiscal year-end) are subject to customary year-end adjustments and lack footnotes. Purchaser maintains a system of internal account controls and procedures designed to record transactions as reasonably necessary to permit the preparation of its financial statements in conformity with GAAP.</w:t>
      </w:r>
    </w:p>
    <w:p>
      <w:pPr>
        <w:pStyle w:val="TextBody"/>
        <w:bidi w:val="0"/>
        <w:spacing w:before="0" w:after="0"/>
        <w:ind w:left="0" w:right="0" w:firstLine="720"/>
        <w:jc w:val="both"/>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-29-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5.7. </w:t>
      </w:r>
      <w:r>
        <w:rPr>
          <w:rFonts w:ascii="Times New Roman;Times;Serif" w:hAnsi="Times New Roman;Times;Serif"/>
          <w:b w:val="false"/>
          <w:i/>
          <w:caps w:val="false"/>
          <w:smallCaps w:val="false"/>
          <w:sz w:val="20"/>
        </w:rPr>
        <w:t>Capitalization of Purchaser</w:t>
      </w:r>
      <w:r>
        <w:rPr>
          <w:rFonts w:ascii="Times New Roman;Times;Serif" w:hAnsi="Times New Roman;Times;Serif"/>
          <w:b w:val="false"/>
          <w:i w:val="false"/>
          <w:caps w:val="false"/>
          <w:smallCaps w:val="false"/>
          <w:sz w:val="20"/>
        </w:rPr>
        <w:t>. As of February 28, 2026, the most recent practicable date, the authorized capital stock of the Purchaser consists of (i) 300,000,000 shares of Purchaser Common Stock, of which, as of February 28, 2026, 97,248,936 shares are issued and outstanding, as well as (x) 23,721,108 shares reserved for issuance pursuant to the Company’s stock option, restricted stock and stock purchase plans, comprised of 4,227,412 shares issuable upon the exercise of outstanding options and stock appreciation rights, and 15,647,321 shares of unvested restricted share units and 3,846,375 remaining shares available for future grants under Purchaser’s various equity plans and (y) 51,401,694 shares issuable upon conversion of Purchaser’s Series A Convertible Preferred Stock, and (ii) 10,000,000 shares of preferred stock, $0.001 par value, of which (x) 24,000 shares are designated as Series A Convertible Preferred Stock, of which, as of February 28, 2026, 21,008 shares are issued and outstanding. No other shares of Purchaser Common Stock, or securities exercisable or exchangeable for, or convertible into, shares of Purchaser Common Stock, are issued or outstanding. Additionally, Purchaser may become obligated to issue additional earnout shares under the APT acquisition agreement, depending on the extent to which the product revenue and regulatory approval milestones are met through September 30, 2029, but in no event more than 19.9% of the total number of shares of Purchaser’s common stock issued and outstanding immediately prior to July 31, 2024, which, if issued, would be “restricted securities.” As of February 28, 2026, Purchaser registered up to 4,613,380 of such additional earnout shares of which, as of that date, 1,419,523 shares have been issued.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5.8. </w:t>
      </w:r>
      <w:r>
        <w:rPr>
          <w:rFonts w:ascii="Times New Roman;Times;Serif" w:hAnsi="Times New Roman;Times;Serif"/>
          <w:b w:val="false"/>
          <w:i/>
          <w:caps w:val="false"/>
          <w:smallCaps w:val="false"/>
          <w:sz w:val="20"/>
        </w:rPr>
        <w:t>Litigation</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237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Purchaser is not subject to any order that may have an adverse effect on Purchaser’s ability to comply with or perform any of Purchaser’s covenants or obligations under the Transaction Documents. There is no Proceeding pending, and no Person has threatened to commence any Proceeding, that may have an adverse effect on the ability of Purchaser to comply with or perform any of Purchaser’s covenants or obligations under the Transaction Documents. To Purchaser’s knowledge, no event has occurred, and no claim, dispute or other condition or circumstance exists, that could reasonably be expected to directly or indirectly give rise to or serve as a basis for the commencement of any such Proceeding.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5.9. </w:t>
      </w:r>
      <w:r>
        <w:rPr>
          <w:rFonts w:ascii="Times New Roman;Times;Serif" w:hAnsi="Times New Roman;Times;Serif"/>
          <w:b w:val="false"/>
          <w:i/>
          <w:caps w:val="false"/>
          <w:smallCaps w:val="false"/>
          <w:sz w:val="20"/>
        </w:rPr>
        <w:t>Disclosure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No representation or warranty of Purchaser contained in this Agreement, as qualified by the Related Agreements, or the exhibits attached hereto and thereto, and no certificate furnished or to be furnished to Company and Sellers at the Closing contains any untrue statement of a material fact or omits to state a material fact necessary in order to make the statements contained herein or therein not misleading in light of the circumstances under which they were made.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5.10. </w:t>
      </w:r>
      <w:r>
        <w:rPr>
          <w:rFonts w:ascii="Times New Roman;Times;Serif" w:hAnsi="Times New Roman;Times;Serif"/>
          <w:b w:val="false"/>
          <w:i/>
          <w:caps w:val="false"/>
          <w:smallCaps w:val="false"/>
          <w:sz w:val="20"/>
        </w:rPr>
        <w:t>Compliance with Laws; Regulatory Matters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To the Purchaser’s Knowledge, Purchaser is, and has during the past five years been, in compliance in all material respects with all applicable Legal Requirements, including Legal Requirements relating to exportation of goods and services, securities law matters and Taxes, which affect the business, properties, assets and activities of Purchaser. During the past five years, Purchaser has not received any written notice or other communication from any Governmental Entity or other Person regarding any actual or possible violation in any material respect of, or failure to comply in any material respect with, any applicable Legal Requirement.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Neither Purchaser nor any officer, employee or, to the Purchaser’s Knowledge, agent of Purchaser within its/his/her activities conducted on behalf of Purchaser, has made an untrue statement of a material fact or fraudulent statement to any Governmental Entity which administers any applicable Health Care Laws or failed to disclose a material fact required to be disclosed to any such Governmental Entity which administers any such Health Care Laws.</w:t>
      </w:r>
    </w:p>
    <w:p>
      <w:pPr>
        <w:pStyle w:val="TextBody"/>
        <w:bidi w:val="0"/>
        <w:spacing w:before="0" w:after="0"/>
        <w:ind w:left="0" w:right="0" w:firstLine="1440"/>
        <w:jc w:val="both"/>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-30-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All preclinical and clinical trials in respect of the activities of Purchaser being conducted by or on behalf of Purchaser are being or have been conducted in compliance in all material respects with the required experimental protocols, procedures and controls recognized under applicable Legal Requirements. No clinical trial conducted by or on behalf of Purchaser has been terminated or suspended by the applicable Governmental Entity, and no applicable Governmental Entity has commenced or threatened to initiate, any action to place a clinical hold order on, or otherwise terminate, delay, suspend or materially restrict, any proposed or ongoing clinical trial conducted or proposed to be conducted by or on behalf of any of Purchaser.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Neither Purchaser nor any employee of Purchaser has been debarred, and, to the Purchaser’s Knowledge, no claims, actions, proceedings or investigations that would reasonably be expected to result in such a debarment or exclusion are pending or threatened against any of Company or its officers, or, to the Purchaser’s Knowledge, consultants, employees or agents.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Purchaser is not a party to any corporate integrity agreements, deferred prosecution agreements, monitoring agreements, consent decrees, settlement orders, or similar agreements with or imposed by any Governmental Entity.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5.11. </w:t>
      </w:r>
      <w:r>
        <w:rPr>
          <w:rFonts w:ascii="Times New Roman;Times;Serif" w:hAnsi="Times New Roman;Times;Serif"/>
          <w:b w:val="false"/>
          <w:i/>
          <w:caps w:val="false"/>
          <w:smallCaps w:val="false"/>
          <w:sz w:val="20"/>
        </w:rPr>
        <w:t>Absence of ongoing side discussion</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at the date of this Agreement, Purchaser has not negotiated, and is not currently negotiating, with MicroPort Medbot or any of its Affiliate regarding any potential amendment, supplement, restate or otherwise modification of the JV Agreements in a manner that results in the Purchaser, the Company or any of their Affiliates receiving or becoming entitled to receive any economic benefit that was not provided for under the terms of such JV Agreement as in effect on the Closing Date, including, without limitation, by way of the grant of Company’s Product rights, option rights, intellectual property rights, license rights, distribution rights or any other rights or entitlements of any nature whatsoever to the benefit of the Joint Venture, the shareholders of the Joint Venture and/or their Affiliates. For the sake of clarity, nothing in this Agreement shall restrict or otherwise prevent the Purchaser from initiating and conducting negotiations following signing of this Agreement.</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Article VI</w:t>
      </w:r>
      <w:r>
        <w:rPr>
          <w:rFonts w:ascii="Times New Roman;Times;Serif" w:hAnsi="Times New Roman;Times;Serif"/>
          <w:b/>
          <w:i w:val="false"/>
          <w:caps w:val="false"/>
          <w:smallCaps w:val="false"/>
          <w:sz w:val="20"/>
        </w:rPr>
        <w:br/>
        <w:br/>
      </w:r>
      <w:r>
        <w:rPr>
          <w:rFonts w:ascii="Times New Roman;Times;Serif" w:hAnsi="Times New Roman;Times;Serif"/>
          <w:b/>
          <w:i w:val="false"/>
          <w:caps/>
          <w:sz w:val="20"/>
        </w:rPr>
        <w:t>COVENANTS</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6.1. </w:t>
      </w:r>
      <w:r>
        <w:rPr>
          <w:rFonts w:ascii="Times New Roman;Times;Serif" w:hAnsi="Times New Roman;Times;Serif"/>
          <w:b w:val="false"/>
          <w:i/>
          <w:caps w:val="false"/>
          <w:smallCaps w:val="false"/>
          <w:sz w:val="20"/>
        </w:rPr>
        <w:t>Conduct of Business Prior to Closing</w:t>
      </w:r>
      <w:r>
        <w:rPr>
          <w:rFonts w:ascii="Times New Roman;Times;Serif" w:hAnsi="Times New Roman;Times;Serif"/>
          <w:b w:val="false"/>
          <w:i w:val="false"/>
          <w:caps w:val="false"/>
          <w:smallCaps w:val="false"/>
          <w:sz w:val="20"/>
        </w:rPr>
        <w:t xml:space="preserve">. During the period from the date of this Agreement to the Closing, except (i) as expressly contemplated or permitted by this Agreement or any Related Agreement or (ii) as Purchaser shall otherwise consent in writing (such consent not to be unreasonably withheld, conditioned or delayed), each Seller and the Manager shall, within the limits of their respective powers as shareholders, board members, or officers of the Company, use Commercially Reasonable Efforts to cause the Company to, (A) conduct its business in the ordinary course of business, (B) use Commercially Reasonable Efforts to maintain and preserve intact the Company’s current business, organization, goodwill, relationships with customers, suppliers, independent contractors, lenders, landlords, regulators and others having business dealings with it, retain the services of the Company’s officers and employees, preserve its assets and properties in good repair and condition consistent with past practice, and maintain capital expenditure levels consistent with past practice, and (C) promptly (and in any event within five (5) Business Days) notify Purchaser of and provide to Purchaser a copy of, (1) any notice or other communication the Company receives from (y) any Person alleging that the consent of such Person is or may be required in connection with any of the Transactions or (z) any Governmental Entity relating to the Company’s business or (2) any change(s) that, individually or in the aggregate, have had or would reasonably be expected to (y) have a Material Adverse Effect or (z) delay or impede the ability of any of the Parties to perform their material obligations under any of the Transaction Documents (taken as a whole) or consummate any of the Transactions, and (D) deliver to Purchaser copies of the Company’s monthly financial statements within ten (10) calendar days after the end of each month. In addition to and without limiting the generality of the foregoing, during the period from the date of this Agreement to the Closing (or the termination of this Agreement in accordance with its terms), except (i) as expressly contemplated or permitted by this Agreement and Related Agreements (including the Equity Pre-Closing Transactions and the Debt Restructuring), (ii) as set forth on Section 6.1 of the Company Disclosure Letter, (iii) as Purchaser shall otherwise consent in writing (such consent not to be unreasonably withheld, conditioned or delayed), or (iv) as contemplated by and consistent with the operating budget of the Company for the second quarter of 2026 (April 1, 2026 through June 30, 2026), as attached as </w:t>
      </w:r>
      <w:r>
        <w:rPr>
          <w:rFonts w:ascii="Times New Roman;Times;Serif" w:hAnsi="Times New Roman;Times;Serif"/>
          <w:b w:val="false"/>
          <w:i w:val="false"/>
          <w:caps w:val="false"/>
          <w:smallCaps w:val="false"/>
          <w:sz w:val="20"/>
          <w:u w:val="single"/>
        </w:rPr>
        <w:t>Exhibit 6.1</w:t>
      </w:r>
      <w:r>
        <w:rPr>
          <w:rFonts w:ascii="Times New Roman;Times;Serif" w:hAnsi="Times New Roman;Times;Serif"/>
          <w:b w:val="false"/>
          <w:i w:val="false"/>
          <w:caps w:val="false"/>
          <w:smallCaps w:val="false"/>
          <w:sz w:val="20"/>
        </w:rPr>
        <w:t xml:space="preserve"> (the “</w:t>
      </w:r>
      <w:r>
        <w:rPr>
          <w:rFonts w:ascii="Times New Roman;Times;Serif" w:hAnsi="Times New Roman;Times;Serif"/>
          <w:b w:val="false"/>
          <w:i w:val="false"/>
          <w:caps w:val="false"/>
          <w:smallCaps w:val="false"/>
          <w:sz w:val="20"/>
          <w:u w:val="single"/>
        </w:rPr>
        <w:t>Approved Q2 Budget</w:t>
      </w:r>
      <w:r>
        <w:rPr>
          <w:rFonts w:ascii="Times New Roman;Times;Serif" w:hAnsi="Times New Roman;Times;Serif"/>
          <w:b w:val="false"/>
          <w:i w:val="false"/>
          <w:caps w:val="false"/>
          <w:smallCaps w:val="false"/>
          <w:sz w:val="20"/>
        </w:rPr>
        <w:t>”), each Seller and the Manager shall, within the limits of their respective powers as shareholders, board members, or officers of the Company, use Commercially Reasonable Efforts to cause the Company not to:</w:t>
      </w:r>
    </w:p>
    <w:p>
      <w:pPr>
        <w:pStyle w:val="TextBody"/>
        <w:bidi w:val="0"/>
        <w:spacing w:before="0" w:after="0"/>
        <w:ind w:left="0" w:right="0" w:firstLine="720"/>
        <w:jc w:val="both"/>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-31-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propose or adopt any amendments to the Company’s Organizational Documents;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authorize, adopt or propose (i) a plan of complete or partial liquidation or dissolution of the Company or (ii) a merger or consolidation of the Company with or into any other Person;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acquire in the name or on behalf of the Company, by merging or consolidating with, or by purchasing a substantial portion of the assets of, or by any other manner, any business or any corporation, partnership, association or other Person or business organization or division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(i) grant to any employee any increase in, or agree to increase, base compensation or benefits paid or due to, or enter into or amend any employment, change-in-control or severance agreement with any employee, (ii) grant any bonuses to any employee, (iii) enter into or adopt any Benefit Plan or amend, terminate or modify in any material respect any existing Benefit Plan, or enter into or adopt any collective bargaining agreement except to the extent required by Law, or (iv) take any action to accelerate the vesting or payment, or in any other way secure the payment, of compensation or benefits under any Benefit Plan;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incur or assume, or modify in any respect the terms of, any Indebtedness (other than (i) the Debt Restructuring or (ii) Indebtedness incurred in the ordinary course of business not to exceed $25,000 in the aggregate) or guarantee or otherwise become responsible for any such Indebtedness of another Person, or issue or sell any debt securities or calls, options, warrants or other rights to acquire any debt securities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permit, allow or suffer any of the Sold Securities or assets of the Company to become subjected to any Encumbrance;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except in the context of the Debt Restructuring, cancel any Indebtedness payable to Seller in excess of $10,000 (individually or in the aggregate) or waive any claims or rights with a value in excess of $10,000 thereunder;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make in the name or on behalf of the Company any loans, advances or capital contributions to, or investments in, any other Person;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make with respect to the Company or its business any change in any method of financial accounting or accounting practice, principle or policy or practices affecting the reported consolidated assets, liabilities or results of operations of the Company, including (i) decreasing the amount of any reserves for doubtful accounts receivable or writing down or writing up the value of any inventory or equipment or other asset, and (ii) with respect to the payments of accounts payable and collections of accounts receivable, other than those required by applicable GAAP or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make or incur any capital expenditure or other expenses in the name or on behalf of the Company that is not currently approved in writing which, individually or in the aggregate, is in excess of $25,000;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acquire, lease or dispose of any assets of the Company;</w:t>
      </w:r>
    </w:p>
    <w:p>
      <w:pPr>
        <w:pStyle w:val="TextBody"/>
        <w:bidi w:val="0"/>
        <w:spacing w:before="0" w:after="0"/>
        <w:ind w:left="0" w:right="0" w:firstLine="720"/>
        <w:jc w:val="both"/>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-32-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form any Subsidiary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cause to expire or terminate, or fail to renew, any insurance policies of the Company currently in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(i) enter into any Contract that would have been a Material Contract if entered into prior to the date of this Agreement (other than renewals of existing Material Contracts on substantially similar terms), except to the extent required by Law, or (ii) materially amend, waive any material right under, terminate (other than terminations in accordance with the terms of such Material Contract), fail to renew (other than where the counterparty declines to renew) or permit the lapse of any Material Contract;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take any action, or omit to take any action, which could result in a material default under any Material Contract;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enter into, amend or terminate any collective bargaining agreement in respect of the employees;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terminate the employment of any management-level employee;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 enter into any Contract or transaction in the name or on behalf of the Company with Seller or Affiliate of the Company or Seller;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fail to maintain all material Permits of the Company in full force and effect and to timely file all material reports, statements, renewal applications and other filings, and pay all fees and charges in connection therewith, that are required to keep such Permits in full force and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 with respect to Company Intellectual Property, (i) encumber, impair, abandon, fail to diligently maintain, transfer or otherwise dispose of any right, title or interest of the Company in any Company Intellectual Property or (ii) divulge, furnish to or make accessible any trade secrets within any Company Intellectual Property to any Person who is not subject to an enforceable written obligation to maintain the confidentiality of such trade secrets;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 disclose any material confidential or proprietary information of the Company or its business to any Person other than to Purchaser, Purchaser’s representatives, attorneys, Agile Capital Markets, accountants or Company’s employees, except in the context of the conciliation procedure or in the ordinary course of operations and consistent with past practices;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waive, release, assign, settle or compromise any Proceeding involving the Company or threatened Proceeding involving the Company other than (i) settlements or compromises of such Proceedings that involve solely cash payments where the amount paid by the Company in settlement or compromise does not exceed $25,000 individually or $50,000 in the aggregate, or (ii) settlements or compromises made in the ordinary course of business that do not involve any admission of liability or wrongdoing and do not exceed $25,000 individually;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 with respect to the Company or its business, make or change any Tax election, change an annual accounting period, adopt or change any accounting method, amend any Tax Return, fail to file on a timely basis any Tax Return, fail to pay on a timely basis any Tax, enter into any closing or similar agreement with respect to Taxes, settle any Tax claim or assessment, surrender any right to claim a refund of Taxes, or consent to any extension or waiver of the limitation period applicable to any Tax claim or assessment; 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agree, whether in writing or otherwise, to do any of the foregoing.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Purchaser shall, within three (3) Business Days from receipt of a written request for consent notified by the Sellers Representatives or the Manager, submit to the Sellers Representatives or the Manager its approval or refusal (together with the supporting reasons for such refusal). Failure by the Purchaser to notify the Sellers Representatives or the Manager of its approval or refusal within the aforementioned period shall be deemed a refusal of the action submitted to the Purchaser’s prior consent (it being specified that the Sellers Representative or the Manager may submit again the request for approval)</w:t>
      </w:r>
    </w:p>
    <w:p>
      <w:pPr>
        <w:pStyle w:val="TextBody"/>
        <w:bidi w:val="0"/>
        <w:spacing w:before="0" w:after="0"/>
        <w:ind w:left="0" w:right="0" w:firstLine="720"/>
        <w:jc w:val="both"/>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-33-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6.2. </w:t>
      </w:r>
      <w:r>
        <w:rPr>
          <w:rFonts w:ascii="Times New Roman;Times;Serif" w:hAnsi="Times New Roman;Times;Serif"/>
          <w:b w:val="false"/>
          <w:i/>
          <w:caps w:val="false"/>
          <w:smallCaps w:val="false"/>
          <w:sz w:val="20"/>
        </w:rPr>
        <w:t>Access to Information</w:t>
      </w:r>
      <w:r>
        <w:rPr>
          <w:rFonts w:ascii="Times New Roman;Times;Serif" w:hAnsi="Times New Roman;Times;Serif"/>
          <w:b w:val="false"/>
          <w:i w:val="false"/>
          <w:caps w:val="false"/>
          <w:smallCaps w:val="false"/>
          <w:sz w:val="20"/>
        </w:rPr>
        <w:t>. From the date of this Agreement until the Closing, Manager shall, and shall cause the Company to, (a) provide to Purchaser and its representatives reasonable access, upon reasonable prior notice, to the officers, employees and agents of the Company, the properties, offices and other facilities of the Company, the books and records thereof (including Tax Returns) and the assets of the Company; provided that (x) Purchaser shall not have direct access to employees of the Company (other than officers) without the prior consent of the Manager or the Sellers Representatives (such consent not to be unreasonably withheld), (y) such access shall not unreasonably disrupt the normal operations of the Company, and (z) all on-site visits shall be coordinated through the Manager, and (b) furnish as promptly as practicable such information concerning the Company, its business and the Shares as Purchaser or their representatives may reasonably request; provided, however, that Manager or the Company may withhold any document or information the disclosure of which would violate any applicable Law (provided that Manager or the Company, as the case may be, shall use Commercially Reasonable Efforts to make appropriate substitute arrangements to permit reasonable disclosure of such document or information in a manner that does not violate any applicable Law, and shall otherwise notify Purchaser of any such disclosure withheld pursuant to this provision); provided further, however, that any such access or disclosure shall not require Manager or the Company to waive any applicable privilege (including attorney-client privilege) nor to violate any confidentiality obligation. All information exchanged pursuant to this Section 6.2 shall be subject to the confidentiality obligations set forth in Section 6.7 of this Agreement. In the event the Closing does not occur, the confidentiality obligations under Section 6.7 shall survive the termination of this Agreement in accordance with their terms.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6.3. </w:t>
      </w:r>
      <w:r>
        <w:rPr>
          <w:rFonts w:ascii="Times New Roman;Times;Serif" w:hAnsi="Times New Roman;Times;Serif"/>
          <w:b w:val="false"/>
          <w:i/>
          <w:caps w:val="false"/>
          <w:smallCaps w:val="false"/>
          <w:sz w:val="20"/>
        </w:rPr>
        <w:t>Public Announcements</w:t>
      </w:r>
      <w:r>
        <w:rPr>
          <w:rFonts w:ascii="Times New Roman;Times;Serif" w:hAnsi="Times New Roman;Times;Serif"/>
          <w:b w:val="false"/>
          <w:i w:val="false"/>
          <w:caps w:val="false"/>
          <w:smallCaps w:val="false"/>
          <w:sz w:val="20"/>
        </w:rPr>
        <w:t>. The Purchaser shall have the sole right to announce the completion of the Transactions via a press release in such form and at such time as the Purchaser shall determine in its sole discretion, in accordance with applicable Legal Requirements (including securities laws and stock exchange rules applicable to Purchaser), it being specified that a draft press release has been shared with the Company. No Seller shall issue or cause the publication of any press release or other public announcement or disclosure with respect to this Agreement or the Transactions without the prior written consent of the Purchaser, provided however, that (i) each Party may, without the prior consent of the Purchaser, make any public disclosure that such Party determines in good faith is required by applicable Legal Requirements, in which case such Party shall use reasonable best efforts to provide the Purchaser with a copy of such disclosure and a reasonable opportunity to comment thereon prior to its release and (ii) the other Parties shall be authorized to republish all or part of any press release or public announcement issued in accordance with this Section 6.3.</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6.4. </w:t>
      </w:r>
      <w:r>
        <w:rPr>
          <w:rFonts w:ascii="Times New Roman;Times;Serif" w:hAnsi="Times New Roman;Times;Serif"/>
          <w:b w:val="false"/>
          <w:i/>
          <w:caps w:val="false"/>
          <w:smallCaps w:val="false"/>
          <w:sz w:val="20"/>
        </w:rPr>
        <w:t>Conveyance Taxes</w:t>
      </w:r>
      <w:r>
        <w:rPr>
          <w:rFonts w:ascii="Times New Roman;Times;Serif" w:hAnsi="Times New Roman;Times;Serif"/>
          <w:b w:val="false"/>
          <w:i w:val="false"/>
          <w:caps w:val="false"/>
          <w:smallCaps w:val="false"/>
          <w:sz w:val="20"/>
        </w:rPr>
        <w:t>. Each Party shall cooperate in the preparation, execution and filing of all returns, questionnaires, applications or other documents regarding any real property transfer, sales, use, transfer, value added, stock transfer and stamp taxes, any transfer, recording, registration and other fees or any similar taxes which become payable in connection with the Transactions that are required or permitted to be filed on or before the Closing. Purchaser shall bear and pay the French registration duties (</w:t>
      </w:r>
      <w:r>
        <w:rPr>
          <w:rFonts w:ascii="Times New Roman;Times;Serif" w:hAnsi="Times New Roman;Times;Serif"/>
          <w:b w:val="false"/>
          <w:i/>
          <w:caps w:val="false"/>
          <w:smallCaps w:val="false"/>
          <w:sz w:val="20"/>
        </w:rPr>
        <w:t>droits d’enregistrement</w:t>
      </w:r>
      <w:r>
        <w:rPr>
          <w:rFonts w:ascii="Times New Roman;Times;Serif" w:hAnsi="Times New Roman;Times;Serif"/>
          <w:b w:val="false"/>
          <w:i w:val="false"/>
          <w:caps w:val="false"/>
          <w:smallCaps w:val="false"/>
          <w:sz w:val="20"/>
        </w:rPr>
        <w:t>) due in connection with the sale of the Shares to Purchaser as contemplated 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6.5. </w:t>
      </w:r>
      <w:r>
        <w:rPr>
          <w:rFonts w:ascii="Times New Roman;Times;Serif" w:hAnsi="Times New Roman;Times;Serif"/>
          <w:b w:val="false"/>
          <w:i/>
          <w:caps w:val="false"/>
          <w:smallCaps w:val="false"/>
          <w:sz w:val="20"/>
        </w:rPr>
        <w:t>Tax Matters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Company shall prepare or cause to be prepared and timely file or cause to be timely filed, all Tax Returns of Company that are required to be filed (taking into account timely extensions) on or before the Closing Date. Any Taxes that are reported on such Tax Returns shall be timely paid by Company on or before the Closing Date. Unless prohibited by applicable Legal Requirement, such Tax Returns shall be prepared in accordance with the past customs and practices of Company in preparing its Tax Returns. Company shall permit Purchaser to review and comment on each such Tax Return and shall make such revisions to such Tax Returns as are reasonably requested by Purchaser.</w:t>
      </w:r>
    </w:p>
    <w:p>
      <w:pPr>
        <w:pStyle w:val="TextBody"/>
        <w:bidi w:val="0"/>
        <w:spacing w:before="0" w:after="0"/>
        <w:ind w:left="0" w:right="0" w:firstLine="1440"/>
        <w:jc w:val="both"/>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-34-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If, subsequent to the Closing, any of Purchaser or the Sellers Representatives receive notice of a claim by any Taxing Authority with respect to Taxes of Company that could form the basis of a claim for indemnification under Section 8.2 (a “</w:t>
      </w:r>
      <w:r>
        <w:rPr>
          <w:rFonts w:ascii="Times New Roman;Times;Serif" w:hAnsi="Times New Roman;Times;Serif"/>
          <w:b w:val="false"/>
          <w:i w:val="false"/>
          <w:caps w:val="false"/>
          <w:smallCaps w:val="false"/>
          <w:sz w:val="20"/>
          <w:u w:val="single"/>
        </w:rPr>
        <w:t>Tax Claim</w:t>
      </w:r>
      <w:r>
        <w:rPr>
          <w:rFonts w:ascii="Times New Roman;Times;Serif" w:hAnsi="Times New Roman;Times;Serif"/>
          <w:b w:val="false"/>
          <w:i w:val="false"/>
          <w:caps w:val="false"/>
          <w:smallCaps w:val="false"/>
          <w:sz w:val="20"/>
        </w:rPr>
        <w:t xml:space="preserve">”), then within fifteen (15) days after receipt of such notice, Purchaser or the Sellers Representatives, as the case may be, shall give written notice of such Tax Claim to the other Parties. Purchaser shall control the conduct and resolution of any such Tax Claim;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Purchaser will keep the Sellers Representatives reasonably apprised of material developments with respect to such Tax Claim, will permit the Sellers Representatives to participate in the conduct of such Tax Claim at Sellers Representatives ‘ expense, and will not settle any Tax Claim that would result in indemnification obligations under Section 8.2 in excess of $50,000 without the approval of the Sellers Representatives (which approval will not be unreasonably withheld, conditioned or delayed and must be provided within ten (10) Business Days of request or shall be deemed given). For the avoidance of doubt, Seller shall be responsible for payment of such Taxes related to pre-closing periods without regard to whether such obligation becomes known to the Parties subsequent to the Closing.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Nothing in this Agreement shall be construed to limit the ability of Purchaser to make a Section 338(g) election in connection with the Transactions.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6.6. </w:t>
      </w:r>
      <w:r>
        <w:rPr>
          <w:rFonts w:ascii="Times New Roman;Times;Serif" w:hAnsi="Times New Roman;Times;Serif"/>
          <w:b w:val="false"/>
          <w:i/>
          <w:caps w:val="false"/>
          <w:smallCaps w:val="false"/>
          <w:sz w:val="20"/>
        </w:rPr>
        <w:t>Certain Filings</w:t>
      </w:r>
      <w:r>
        <w:rPr>
          <w:rFonts w:ascii="Times New Roman;Times;Serif" w:hAnsi="Times New Roman;Times;Serif"/>
          <w:b w:val="false"/>
          <w:i w:val="false"/>
          <w:caps w:val="false"/>
          <w:smallCaps w:val="false"/>
          <w:sz w:val="20"/>
        </w:rPr>
        <w:t>. Each of the Parties shall cooperate reasonably with one another (a) in determining whether any action by or in respect of, or filing with, any Governmental Entity is required, or any actions, consents, approvals or waivers are required to be obtained from parties to any Material Contracts, in connection with the consummation of the Transactions, and (b) in taking such actions or making any such filings, furnishing information reasonably required in connection therewith and seeking timely to obtain any such actions, consents, approvals or waivers.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6.7. </w:t>
      </w:r>
      <w:r>
        <w:rPr>
          <w:rFonts w:ascii="Times New Roman;Times;Serif" w:hAnsi="Times New Roman;Times;Serif"/>
          <w:b w:val="false"/>
          <w:i/>
          <w:caps w:val="false"/>
          <w:smallCaps w:val="false"/>
          <w:sz w:val="20"/>
        </w:rPr>
        <w:t>Confidentiality</w:t>
      </w:r>
      <w:r>
        <w:rPr>
          <w:rFonts w:ascii="Times New Roman;Times;Serif" w:hAnsi="Times New Roman;Times;Serif"/>
          <w:b w:val="false"/>
          <w:i w:val="false"/>
          <w:caps w:val="false"/>
          <w:smallCaps w:val="false"/>
          <w:sz w:val="20"/>
        </w:rPr>
        <w:t>.</w:t>
      </w:r>
    </w:p>
    <w:p>
      <w:pPr>
        <w:pStyle w:val="TextBody"/>
        <w:bidi w:val="0"/>
        <w:spacing w:before="0" w:after="0"/>
        <w:ind w:left="180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In connection with the Transactions, (i) each Seller and the Purchaser (until Closing with respect to the Purchaser) covenants to keep confidential all non-public information and materials owned by or relating to other Parties and the Company and (ii) the Purchaser as from Closing, covenants to keep confidential all non-public information and materials relating exclusively to the Sellers or their prior shareholding in the Company ;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a Seller or the Purchaser may disclose such information and materials to its respective trustees, representatives, accountants and counsel to the extent such parties reasonably require such information or materials to consummate the Transactions; and provided that Purchaser may disclose various information which would be considered customary to be disclosed during “</w:t>
      </w:r>
      <w:r>
        <w:rPr>
          <w:rFonts w:ascii="Times New Roman;Times;Serif" w:hAnsi="Times New Roman;Times;Serif"/>
          <w:b w:val="false"/>
          <w:i/>
          <w:caps w:val="false"/>
          <w:smallCaps w:val="false"/>
          <w:sz w:val="20"/>
        </w:rPr>
        <w:t>investors calls</w:t>
      </w:r>
      <w:r>
        <w:rPr>
          <w:rFonts w:ascii="Times New Roman;Times;Serif" w:hAnsi="Times New Roman;Times;Serif"/>
          <w:b w:val="false"/>
          <w:i w:val="false"/>
          <w:caps w:val="false"/>
          <w:smallCaps w:val="false"/>
          <w:sz w:val="20"/>
        </w:rPr>
        <w:t>” for publicly-traded companies entering similar transactions. Notwithstanding anything to the contrary contained in this Section 6.7, no Party shall be required to maintain as confidential any information or material which:</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is now, or hereafter becomes, through no act, omission or failure to act on the part of the disclosing Party that would constitute a breach of this Section 6.7, generally known or available to the public;</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is hereafter furnished to the receiving Party by a third party, who is not, to the knowledge of such Seller, under obligations of confidentiality to any other Seller, without restriction on disclosure;</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is disclosed with the prior written approval of the other Party ;</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(iv) is required to be disclosed by applicable Legal Requirement, court order, or similar compulsion;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such disclosure shall be limited to the extent so required or compelled and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further</w:t>
      </w:r>
      <w:r>
        <w:rPr>
          <w:rFonts w:ascii="Times New Roman;Times;Serif" w:hAnsi="Times New Roman;Times;Serif"/>
          <w:b w:val="false"/>
          <w:i w:val="false"/>
          <w:caps w:val="false"/>
          <w:smallCaps w:val="false"/>
          <w:sz w:val="20"/>
        </w:rPr>
        <w:t>, that the Party required to disclose such confidential information and material shall give the other Party notice of such disclosure and reasonably cooperate with the other Party in seeking suitable protection;</w:t>
      </w:r>
    </w:p>
    <w:p>
      <w:pPr>
        <w:pStyle w:val="TextBody"/>
        <w:bidi w:val="0"/>
        <w:spacing w:before="0" w:after="0"/>
        <w:ind w:left="0" w:right="0" w:firstLine="2160"/>
        <w:jc w:val="both"/>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-35-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is pursuant to or in connection with any Proceeding involving any Seller, Purchaser or Company; provided that the disclosing Party shall cooperate reasonably with the other Party to limit public disclosure; or</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is disclosed within the internal governance bodies of such Party or its management company (</w:t>
      </w:r>
      <w:r>
        <w:rPr>
          <w:rFonts w:ascii="Times New Roman;Times;Serif" w:hAnsi="Times New Roman;Times;Serif"/>
          <w:b w:val="false"/>
          <w:i/>
          <w:caps w:val="false"/>
          <w:smallCaps w:val="false"/>
          <w:sz w:val="20"/>
        </w:rPr>
        <w:t>société de gestion de portefeuille</w:t>
      </w:r>
      <w:r>
        <w:rPr>
          <w:rFonts w:ascii="Times New Roman;Times;Serif" w:hAnsi="Times New Roman;Times;Serif"/>
          <w:b w:val="false"/>
          <w:i w:val="false"/>
          <w:caps w:val="false"/>
          <w:smallCaps w:val="false"/>
          <w:sz w:val="20"/>
        </w:rPr>
        <w:t>) or limited partners, to the extent such disclosure is required under such Party’s or such management company’s organizational or constitutional documents, provided that such recipients are bound by confidentiality obligations.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Each of the Parties acknowledges that the other Party and its respective Affiliates may be irreparably damaged if the confidential knowledge and information possessed or hereafter acquired by such Party relating to the other Party (including without limitation, the terms of any of the Transaction Documents and all other confidential information regarding the financial condition, results of operations and prospects of the other Party) were disclosed to or utilized on behalf of others. Accordingly, each Party (until Closing for the Purchaser with respect to information which are not related to a Seller) shall not, directly or indirectly: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disclose to any Person, firm, corporation or other business entity any non-public information concerning the Company or any of the terms of any of the Transaction Documents, for any reason or purpose whatsoever, except that a Party may disclose any such information to its respective attorneys, accountants or other professionals as may be necessary in connection with enforcing, determining or complying with the rights and obligations of this Agreement, so long as such attorneys, accountants, and other professionals agree to keep such information confidential on substantially similar terms and such Party remains liable for the breach of such agreement by such Person; or</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make use of any such non-public information for such Party’s own purpose or for the benefit of any Person (other than the other Party).</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6.8. </w:t>
      </w:r>
      <w:r>
        <w:rPr>
          <w:rFonts w:ascii="Times New Roman;Times;Serif" w:hAnsi="Times New Roman;Times;Serif"/>
          <w:b w:val="false"/>
          <w:i/>
          <w:caps w:val="false"/>
          <w:smallCaps w:val="false"/>
          <w:sz w:val="20"/>
        </w:rPr>
        <w:t>Non-Compete - Non-Solicit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Manager acknowledges that: (i) he is a shareholder of Company and (ii) he will be receiving consideration in association with the Transactions. In consideration of the payment by Purchaser of the Purchase Price, during the Non-Compete Period, the Manager shall not, directly or indirectly through another Person (including via Affiliates, trustees or family members), without the prior written consent of the Purchaser own, consult for, provide services to, engage in sales, brokerage, or marketing for, manage, participate in, be employed by, permit his name, to be used by, or be connected or do any business, or otherwise have any direct or indirect interest in, whether as a manager, officer, director, employee (including of any competitor of the Company’s business), partner, sole proprietor, agent, broker, representative, independent contractor, consultant, franchisor, franchisee, creditor, shareholder, owner, joint venture partner, or otherwise, any Person or business engaged in a Competing Business, throughout North America, the UK, and the EU quarter; provided, however, that the foregoing does not prohibit: (A) the ownership of 2.0% or less of the stock of a publicly held corporation whose stock is traded on a nationally or internationally recognized securities exchange, automated dealer quotation system or in a U.S. or foreign over-the-counter-market; or (B) a passive ownership of less than 2.0% of the equity interest in a private equity fund that is not formed specifically to invest in a particular Competing Business.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Each Party, with the exception of Institutional Financial Investors, commits, without the prior approval of the Purchaser and of the Sellers Representatives, not to, directly or indirectly through another Person (including via Affiliates, trustees or family members):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solicit, induce or attempt to solicit or induce any employee or consultant of Company to leave the employ of or cease performing consultant services for Company, except pursuant to a general, public solicitation for employment that is not directed at or specifically targeted at any such employees or consultants;</w:t>
      </w:r>
    </w:p>
    <w:p>
      <w:pPr>
        <w:pStyle w:val="TextBody"/>
        <w:bidi w:val="0"/>
        <w:spacing w:before="0" w:after="0"/>
        <w:ind w:left="0" w:right="0" w:firstLine="2160"/>
        <w:jc w:val="both"/>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-36-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hire any person who was or is an employee of the Company or Purchaser until three (3) months after such individual’s employment relationship with Purchaser or Company has been voluntarily terminated by such employee; provided that, for the avoidance of doubt, the restrictions in this Section 6.8(b)(iii) shall not apply to any such employee whose employment relationship is terminated by Purchaser or Company, as the case may be; or</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solicit, induce or attempt to solicit or induce any customer, client, consultant, supplier, licensee or other similar entity to cease or reduce doing business with Purchaser or Company.</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Each Seller, Purchaser and Company hereto acknowledge that money damages may be an inadequate remedy for any breach of this Section 6.8, and that Purchaser and Company would be irreparably damaged if any such Seller was to breach the covenants set forth in this Section 6.8. Therefore, in the event of a breach or threatened breach of this Section 6.8, Purchaser or Company, or their respective successors or assigns may, in addition to other rights and remedies existing in their favor, apply to any court of competent jurisdiction for specific performance and/or injunctive or other relief in order to enforce, or prevent any violations of, the provisions of this Section 6.8(without posting a bond or other security).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Each of the Sellers and Purchaser agrees and acknowledges that (i) Purchaser and the Sellers have required the covenants set forth in this Section 6.8 as a condition to its obligations to consummate the Transactions; and (ii) the provisions of this Section 6.8 are reasonable and necessary to protect and preserve the business of Company, including but not limited to protecting customer good will, confidential information and trade secrets as from the date of the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6.9. </w:t>
      </w:r>
      <w:r>
        <w:rPr>
          <w:rFonts w:ascii="Times New Roman;Times;Serif" w:hAnsi="Times New Roman;Times;Serif"/>
          <w:b w:val="false"/>
          <w:i/>
          <w:caps w:val="false"/>
          <w:smallCaps w:val="false"/>
          <w:sz w:val="20"/>
        </w:rPr>
        <w:t>Exclusivity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Prior to the Closing, or until this Agreement is terminated in accordance with its terms, no Sellers nor the Company shall, and each such Person shall cause its and their respective shareholders, members, officers, employees, directors, managers, agents and representatives not to, directly or indirectly (i) solicit, initiate, knowingly induce, knowingly assist or take any action with the intent to facilitate or encourage (including by way of furnishing information) any inquiries with respect to, or the making of, any inquiry, proposal or offer (whether or not in writing, and including any proposal or offer to Seller) from any Person or group of Persons, other than Purchaser and its Affiliates, that may constitute, or that would reasonably be expected to lead to, an Alternative Transaction; (ii) engage or enter into, continue or otherwise participate in any discussions, negotiations or agreements with any Person or group of Persons, other than Purchaser and its Affiliates, regarding, or intended to result in, or would reasonably be expected to lead to, an Alternative Transaction; (iii) furnish any information relating to the Company or any of its Affiliates, assets or businesses, or afford access to the assets, business, properties, books or records of the Company or any of its Affiliates to any Person or group of Persons, other than Purchaser and its Affiliates, or cooperate in any way with any Person or groups of Persons, in each such case for the purpose of contemplating, knowingly assisting, or knowingly facilitating any proposal that may constitute, or that would reasonably be expected to lead to, an Alternative Transaction; or (iv) enter into an Alternative Transaction or any agreement, arrangement or understanding with respect thereto, including, without limitation, any letter of intent, memorandum of understanding, agreement in principle, joint venture agreement, partnership agreement, term sheet or other similar document (whether oral or written) regarding, or that is intended to result in, or would reasonably be expected to lead to, an Alternative Transaction.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Until the Closing or the earlier termination of this Agreement in accordance with its terms, the Company and the Sellers Representatives shall promptly (and in any event within three Business Days after receipt thereof by any Seller, the Company or any of their respective Affiliates or representatives) advise Purchaser orally and in writing of any proposal of the kind described in this Section 6.9 (including the identity of the proposing party and the proposed terms thereof) they may have received, been informed or been notified of, and of any request for information with respect to any such proposal or any inquiry they would receive or be notified of with respect to or which could result in a proposal of the kind described in this Section 6.9.</w:t>
      </w:r>
    </w:p>
    <w:p>
      <w:pPr>
        <w:pStyle w:val="TextBody"/>
        <w:bidi w:val="0"/>
        <w:spacing w:before="0" w:after="0"/>
        <w:ind w:left="0" w:right="0" w:firstLine="1440"/>
        <w:jc w:val="both"/>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-37-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In addition to any other remedy that may be available to Purchaser at law, in equity or otherwise, each Seller acknowledges and agrees that (i) it shall be liable to Purchaser for any breach of the obligations set forth in this Section 6.9 by any of its Affiliates, directors, officers, employees, securityholders, agents, Subsidiaries, representatives or members (including those not party hereto) and that (ii) Purchaser shall be entitled to terminate this Agreement prior to Closing on the grounds of such breach. Each Seller (for itself and on behalf of its Affiliates) acknowledges and agrees that Purchaser’s remedies at law for any breach of such Seller’s, the Company’s or their Affiliates’ obligations hereunder would be inadequate, and agree and consent that, in addition to any other relief available to Purchaser at law or in equity, temporary and permanent injunctive relief, including specific performance, may be granted in a proceeding brought to enforce any provision hereof without the necessity of proof of actual damage or the posting of a bond or other security.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6.10. </w:t>
      </w:r>
      <w:r>
        <w:rPr>
          <w:rFonts w:ascii="Times New Roman;Times;Serif" w:hAnsi="Times New Roman;Times;Serif"/>
          <w:b w:val="false"/>
          <w:i/>
          <w:caps w:val="false"/>
          <w:smallCaps w:val="false"/>
          <w:sz w:val="20"/>
        </w:rPr>
        <w:t>Resale Registration Statement</w:t>
      </w:r>
      <w:r>
        <w:rPr>
          <w:rFonts w:ascii="Times New Roman;Times;Serif" w:hAnsi="Times New Roman;Times;Serif"/>
          <w:b w:val="false"/>
          <w:i w:val="false"/>
          <w:caps w:val="false"/>
          <w:smallCaps w:val="false"/>
          <w:sz w:val="20"/>
        </w:rPr>
        <w:t xml:space="preserve"> As soon as practically possible after the date hereof, the Purchaser’s board of directors or an authorized committee thereof shall determine in good faith, after discussion with outside counsel, its independent auditor or its financial advisors, whether it is necessary to include (i) the 8-K Financial Information (as defined below) or (ii) “supplemental information” relating to the Company’s financial performance so that the disclosure in the Registration Statement is not misleading within in the meaning of the Securities Act (“</w:t>
      </w:r>
      <w:r>
        <w:rPr>
          <w:rFonts w:ascii="Times New Roman;Times;Serif" w:hAnsi="Times New Roman;Times;Serif"/>
          <w:b w:val="false"/>
          <w:i w:val="false"/>
          <w:caps w:val="false"/>
          <w:smallCaps w:val="false"/>
          <w:sz w:val="20"/>
          <w:u w:val="single"/>
        </w:rPr>
        <w:t>Supplemental Required Information</w:t>
      </w:r>
      <w:r>
        <w:rPr>
          <w:rFonts w:ascii="Times New Roman;Times;Serif" w:hAnsi="Times New Roman;Times;Serif"/>
          <w:b w:val="false"/>
          <w:i w:val="false"/>
          <w:caps w:val="false"/>
          <w:smallCaps w:val="false"/>
          <w:sz w:val="20"/>
        </w:rPr>
        <w:t>”). In such event, the Purchaser shall inform the Sellers Representatives and use Commercially Reasonable Efforts to prepare (or have prepared, in cooperation with the Company, its auditors, and its advisors) such information so that it is available on Closing or as soon as reasonably practicable after Closing and in any event no later than 75 days after the Closing Date. The Company shall use Commercially Reasonable Efforts to cooperate with Purchaser, its auditors, and its advisors to assist in the preparation of such documentation.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Purchaser shall prepare and, (x) on or before the Initial Registration Statement Filing Deadline or (y) within five (5) Business Days of the Earn-out Consideration Payment Date (if required because the Purchaser intends to issue more Earnout Consideration than the number of shares of Purchaser Common Stock included the original Registration Statement (as defined below) based on Purchaser’s good faith estimate (as defined below),) file with the SEC a registration statement on Form S-3, or, if such registration statement is not available, such other form as may provide for a registered resale, under the Securities Act (together with all amendments or supplements thereto, and all information incorporated by reference therein, the “</w:t>
      </w:r>
      <w:r>
        <w:rPr>
          <w:rFonts w:ascii="Times New Roman;Times;Serif" w:hAnsi="Times New Roman;Times;Serif"/>
          <w:b w:val="false"/>
          <w:i w:val="false"/>
          <w:caps w:val="false"/>
          <w:smallCaps w:val="false"/>
          <w:sz w:val="20"/>
          <w:u w:val="single"/>
        </w:rPr>
        <w:t>Registration Statement</w:t>
      </w:r>
      <w:r>
        <w:rPr>
          <w:rFonts w:ascii="Times New Roman;Times;Serif" w:hAnsi="Times New Roman;Times;Serif"/>
          <w:b w:val="false"/>
          <w:i w:val="false"/>
          <w:caps w:val="false"/>
          <w:smallCaps w:val="false"/>
          <w:sz w:val="20"/>
        </w:rPr>
        <w:t>”), covering the resale of the Upfront Stock Consideration issued and Purchaser’s good faith estimate of Purchase Common Stock that may reasonably be issuable pursuant to Section 1.5 of this Agreement (“</w:t>
      </w:r>
      <w:r>
        <w:rPr>
          <w:rFonts w:ascii="Times New Roman;Times;Serif" w:hAnsi="Times New Roman;Times;Serif"/>
          <w:b w:val="false"/>
          <w:i w:val="false"/>
          <w:caps w:val="false"/>
          <w:smallCaps w:val="false"/>
          <w:sz w:val="20"/>
          <w:u w:val="single"/>
        </w:rPr>
        <w:t>Registrable Securities</w:t>
      </w:r>
      <w:r>
        <w:rPr>
          <w:rFonts w:ascii="Times New Roman;Times;Serif" w:hAnsi="Times New Roman;Times;Serif"/>
          <w:b w:val="false"/>
          <w:i w:val="false"/>
          <w:caps w:val="false"/>
          <w:smallCaps w:val="false"/>
          <w:sz w:val="20"/>
        </w:rPr>
        <w:t>”). Purchaser will use its reasonable best efforts to cause the Registration Statement to be declared effective as soon as reasonably practicable following the filing of the Registration Statement and shall use its reasonable best efforts to cause the Registration Statement to be maintained effective until the earliest to occur of (i) the sixth anniversary of the date the Registration Statement has first become effective, or (ii) the date that all of the Registrable Securities issued or issuable pursuant to Section 1.5 have actually been sold, or may be sold pursuant to Rule 144 under the Securities Act without any restrictions (including as to volume or manner of sale), including preparing and filing any amendments, post-effective amendments, and prospectus supplements as may be reasonably by requested by Seller or required by the rules, regulations or instructions applicable to the registration form used by Purchaser or by the Securities Act or rules and regulations thereunder to keep the Registration Statement effective until all Registrable Securities covered by such Registration Statement are sold. Purchaser shall, at least three (3) calendar days prior to the filing of the Registration Statement or any amendment or supplement thereto, Purchaser shall furnish a copy thereof to Sellers Representatives for informational purposes only, and Sellers Representatives shall have no approval rights over such filings.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t>
      </w:r>
      <w:r>
        <w:rPr>
          <w:rFonts w:ascii="Times New Roman;Times;Serif" w:hAnsi="Times New Roman;Times;Serif"/>
          <w:b w:val="false"/>
          <w:i w:val="false"/>
          <w:caps w:val="false"/>
          <w:smallCaps w:val="false"/>
          <w:sz w:val="20"/>
          <w:u w:val="single"/>
        </w:rPr>
        <w:t>Initial Registration Statement Filing Deadline</w:t>
      </w:r>
      <w:r>
        <w:rPr>
          <w:rFonts w:ascii="Times New Roman;Times;Serif" w:hAnsi="Times New Roman;Times;Serif"/>
          <w:b w:val="false"/>
          <w:i w:val="false"/>
          <w:caps w:val="false"/>
          <w:smallCaps w:val="false"/>
          <w:sz w:val="20"/>
        </w:rPr>
        <w:t>” means five (5) Business Days after the Closing Date, provided that in the event Supplemental Required Information shall be prepared in accordance with this Section 6.10, then the Initial Registration Statement Filing Deadline shall be five (5) Business Days following the date such Supplemental Required Information is available to Purchaser.</w:t>
      </w:r>
    </w:p>
    <w:p>
      <w:pPr>
        <w:pStyle w:val="TextBody"/>
        <w:bidi w:val="0"/>
        <w:spacing w:before="0" w:after="0"/>
        <w:ind w:left="0" w:right="0" w:firstLine="720"/>
        <w:jc w:val="both"/>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-38-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For not more than sixty (60) consecutive calendar days or for a total of not more than one hundred twenty (120) days in any twelve (12) month period, Purchaser may, by written notice to the Sellers Representatives, suspend the use of any prospectus included in the Registration Statement if Purchaser’s board of directors or an authorized committee thereof determines in good faith that such suspension is necessary to (x) delay the disclosure of material nonpublic information concerning Purchaser, the disclosure of which Purchaser’s board of directors or such committee reasonably determines to be significantly disadvantageous to the Purchaser and its stockholders, or (y) amend or supplement the Registration Statement or the related prospectus so that the Registration Statement or prospectus will not include an untrue statement of a material fact or omit to state a material fact required to be stated therein or necessary to make the statements therein, in the case of the prospectus in light of the circumstances under which they were made, not misleading (and, in the event of a suspension pursuant to clause (y), Purchaser agrees to use reasonable best efforts to complete such amendment or supplement as soon as reasonably practicable). The Sellers Representatives shall (a) promptly furnish such information, questionnaires, certificates or other documents as Purchaser may reasonably request in connection with any such Registration Statement and (b) use their reasonable best efforts to cause to be furnished by the appropriate representatives of the Company or by a Seller such information, questionnaires, certificates or other documents as may be reasonably requested by Purchaser in connection with the filing of any such Registration Statement. It shall be a condition precedent to the obligations of Purchaser to take any action pursuant to this Section 6.10(b) with respect to any Seller that such Seller furnish to Purchaser a fully completed questionnaire and such other information in writing regarding itself, the Purchaser Common Stock held by it, and the intended method of disposition of such securities by such Seller as Purchaser shall reasonably request. In addition, any such Seller shall promptly notify Purchaser of the occurrence, from the date on which such information or documents are furnished to the date of the closing for the sale of such Purchaser Common Stock held by it, of any event relating to such Seller that is required under the Securities Act to be set forth in any such Registration Statement. All expenses relating to the preparation, filing and otherwise relating to the preparation and filing of the Registration Statement (but not as to sales costs, fees and commissions relating to any sales of Registrable Securities thereunder) shall be the sole responsibility of Purchaser.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So long as the Sellers hold Registrable Securities, Purchaser, at all times while it shall be a reporting company under the Exchange Act, covenants to file timely (or obtain extensions in respect thereof and file within the applicable grace period) all SEC Reports required to be filed by Purchaser after the date hereof and to promptly notify Sellers Representatives of its filing of all such SEC Reports. Purchaser further covenants that it shall take such further action as Seller may reasonably request, all to the extent required from time to time to enable Seller to sell the shares of Purchaser Common Stock held by Seller without registration under the Securities Act within the limitation of the exemptions provided by Rule 144, including providing any customary legal opinions. Upon the request of Sellers Representatives, Purchaser shall deliver to Sellers Representatives a written certification of a duly authorized officer as to whether it has complied with such requirements.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Exercise of Purchaser Warrants. In the event that a holder elects to exercise any Purchaser Warrants prior to the effectiveness of the Registration Statement covering the shares of Purchaser Common Stock issuable upon such exercise, the shares issued upon such exercise shall be issued as restricted securities under the Securities Act and shall bear an appropriate restrictive legend. Upon the effectiveness of such Registration Statement, Purchaser shall use commercially reasonable efforts to cause its transfer agent to remove any such restrictive legend from shares issued upon exercise of Purchaser Warrants to the extent permitted by applicable law.</w:t>
      </w:r>
    </w:p>
    <w:p>
      <w:pPr>
        <w:pStyle w:val="TextBody"/>
        <w:bidi w:val="0"/>
        <w:spacing w:before="0" w:after="0"/>
        <w:ind w:left="0" w:right="0" w:firstLine="1440"/>
        <w:jc w:val="both"/>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-39-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Privately Negotiated Transfers; Block Trades. Nothing in this Agreement shall restrict any Seller from effecting privately negotiated transfers or block trades of Registrable Securities; provided that (i) any such transfer complies with or is exempt from applicable securities laws, including the Securities Act and any applicable state and international securities laws, (ii) any transferee who is not named as a selling stockholder in the Registration Statement shall either (A) if requested by such transferee, be added to the Registration Statement pursuant to a prospectus supplement or post-effective amendment filed by Purchaser in accordance with </w:t>
      </w:r>
      <w:r>
        <w:rPr>
          <w:rFonts w:ascii="Times New Roman;Times;Serif" w:hAnsi="Times New Roman;Times;Serif"/>
          <w:b w:val="false"/>
          <w:i w:val="false"/>
          <w:caps w:val="false"/>
          <w:smallCaps w:val="false"/>
          <w:sz w:val="20"/>
          <w:u w:val="single"/>
        </w:rPr>
        <w:t>Section 6.10(b)</w:t>
      </w:r>
      <w:r>
        <w:rPr>
          <w:rFonts w:ascii="Times New Roman;Times;Serif" w:hAnsi="Times New Roman;Times;Serif"/>
          <w:b w:val="false"/>
          <w:i w:val="false"/>
          <w:caps w:val="false"/>
          <w:smallCaps w:val="false"/>
          <w:sz w:val="20"/>
        </w:rPr>
        <w:t xml:space="preserve">, subject to such transferee providing the questionnaire and other materials reasonably requested by Purchaser pursuant to </w:t>
      </w:r>
      <w:r>
        <w:rPr>
          <w:rFonts w:ascii="Times New Roman;Times;Serif" w:hAnsi="Times New Roman;Times;Serif"/>
          <w:b w:val="false"/>
          <w:i w:val="false"/>
          <w:caps w:val="false"/>
          <w:smallCaps w:val="false"/>
          <w:sz w:val="20"/>
          <w:u w:val="single"/>
        </w:rPr>
        <w:t>Section 6.10(b)</w:t>
      </w:r>
      <w:r>
        <w:rPr>
          <w:rFonts w:ascii="Times New Roman;Times;Serif" w:hAnsi="Times New Roman;Times;Serif"/>
          <w:b w:val="false"/>
          <w:i w:val="false"/>
          <w:caps w:val="false"/>
          <w:smallCaps w:val="false"/>
          <w:sz w:val="20"/>
        </w:rPr>
        <w:t xml:space="preserve"> and provided that, if such transferee is not eligible to added by a prospectus supplement and must be added by post-effective amendment, Purchaser may delay such post-effective amendment until the time of Purchaser’s next periodic report filing date under the Exchange Act, and shall not be required to post-effectively amend the Registration Statement more frequently than quarter, or (B) rely on an available exemption from the registration requirements of the Securities Act, including Rule 144, and (iii) any such transferee shall agree in writing to be bound by the terms of the Resale Organization Agreement and this </w:t>
      </w:r>
      <w:r>
        <w:rPr>
          <w:rFonts w:ascii="Times New Roman;Times;Serif" w:hAnsi="Times New Roman;Times;Serif"/>
          <w:b w:val="false"/>
          <w:i w:val="false"/>
          <w:caps w:val="false"/>
          <w:smallCaps w:val="false"/>
          <w:sz w:val="20"/>
          <w:u w:val="single"/>
        </w:rPr>
        <w:t>Section 6.10</w:t>
      </w:r>
      <w:r>
        <w:rPr>
          <w:rFonts w:ascii="Times New Roman;Times;Serif" w:hAnsi="Times New Roman;Times;Serif"/>
          <w:b w:val="false"/>
          <w:i w:val="false"/>
          <w:caps w:val="false"/>
          <w:smallCaps w:val="false"/>
          <w:sz w:val="20"/>
        </w:rPr>
        <w:t>, as applicable.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6.11. </w:t>
      </w:r>
      <w:r>
        <w:rPr>
          <w:rFonts w:ascii="Times New Roman;Times;Serif" w:hAnsi="Times New Roman;Times;Serif"/>
          <w:b w:val="false"/>
          <w:i/>
          <w:caps w:val="false"/>
          <w:smallCaps w:val="false"/>
          <w:sz w:val="20"/>
        </w:rPr>
        <w:t>NYSE American Listing.</w:t>
      </w:r>
      <w:r>
        <w:rPr>
          <w:rFonts w:ascii="Times New Roman;Times;Serif" w:hAnsi="Times New Roman;Times;Serif"/>
          <w:b w:val="false"/>
          <w:i w:val="false"/>
          <w:caps w:val="false"/>
          <w:smallCaps w:val="false"/>
          <w:sz w:val="20"/>
        </w:rPr>
        <w:t xml:space="preserve"> Purchaser shall use its reasonable best efforts to cause the Registrable Securities to be issued in connection with the transactions contemplated hereby to be approved for listing on the NYSE American promptly following the Closing Date.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6.12. </w:t>
      </w:r>
      <w:r>
        <w:rPr>
          <w:rFonts w:ascii="Times New Roman;Times;Serif" w:hAnsi="Times New Roman;Times;Serif"/>
          <w:b w:val="false"/>
          <w:i/>
          <w:caps w:val="false"/>
          <w:smallCaps w:val="false"/>
          <w:sz w:val="20"/>
        </w:rPr>
        <w:t>Interim Financing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Interim Financing Commitment. Purchaser hereby undertakes to subscribe for bonds (</w:t>
      </w:r>
      <w:r>
        <w:rPr>
          <w:rFonts w:ascii="Times New Roman;Times;Serif" w:hAnsi="Times New Roman;Times;Serif"/>
          <w:b w:val="false"/>
          <w:i/>
          <w:caps w:val="false"/>
          <w:smallCaps w:val="false"/>
          <w:sz w:val="20"/>
        </w:rPr>
        <w:t>obligations</w:t>
      </w:r>
      <w:r>
        <w:rPr>
          <w:rFonts w:ascii="Times New Roman;Times;Serif" w:hAnsi="Times New Roman;Times;Serif"/>
          <w:b w:val="false"/>
          <w:i w:val="false"/>
          <w:caps w:val="false"/>
          <w:smallCaps w:val="false"/>
          <w:sz w:val="20"/>
        </w:rPr>
        <w:t>) to be issued by the Company (the “</w:t>
      </w:r>
      <w:r>
        <w:rPr>
          <w:rFonts w:ascii="Times New Roman;Times;Serif" w:hAnsi="Times New Roman;Times;Serif"/>
          <w:b w:val="false"/>
          <w:i w:val="false"/>
          <w:caps w:val="false"/>
          <w:smallCaps w:val="false"/>
          <w:sz w:val="20"/>
          <w:u w:val="single"/>
        </w:rPr>
        <w:t>IF Bonds</w:t>
      </w:r>
      <w:r>
        <w:rPr>
          <w:rFonts w:ascii="Times New Roman;Times;Serif" w:hAnsi="Times New Roman;Times;Serif"/>
          <w:b w:val="false"/>
          <w:i w:val="false"/>
          <w:caps w:val="false"/>
          <w:smallCaps w:val="false"/>
          <w:sz w:val="20"/>
        </w:rPr>
        <w:t xml:space="preserve">”) subject to the provisions of this Section 6.12 and pursuant to the terms and conditions set forth in </w:t>
      </w:r>
      <w:r>
        <w:rPr>
          <w:rFonts w:ascii="Times New Roman;Times;Serif" w:hAnsi="Times New Roman;Times;Serif"/>
          <w:b w:val="false"/>
          <w:i w:val="false"/>
          <w:caps w:val="false"/>
          <w:smallCaps w:val="false"/>
          <w:sz w:val="20"/>
          <w:u w:val="single"/>
        </w:rPr>
        <w:t>Exhibit 6.12</w:t>
      </w:r>
      <w:r>
        <w:rPr>
          <w:rFonts w:ascii="Times New Roman;Times;Serif" w:hAnsi="Times New Roman;Times;Serif"/>
          <w:b w:val="false"/>
          <w:i w:val="false"/>
          <w:caps w:val="false"/>
          <w:smallCaps w:val="false"/>
          <w:sz w:val="20"/>
        </w:rPr>
        <w:t xml:space="preserve"> (the “</w:t>
      </w:r>
      <w:r>
        <w:rPr>
          <w:rFonts w:ascii="Times New Roman;Times;Serif" w:hAnsi="Times New Roman;Times;Serif"/>
          <w:b w:val="false"/>
          <w:i w:val="false"/>
          <w:caps w:val="false"/>
          <w:smallCaps w:val="false"/>
          <w:sz w:val="20"/>
          <w:u w:val="single"/>
        </w:rPr>
        <w:t>IF Bond Terms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Monthly Issuance. As from the date hereof and until the earlier of (i) the Closing Date and (ii) the termination of this Agreement in accordance with its terms, the Company may issue, IF Bonds on a monthly basis, (i) on the date hereof and then (i) each month no later than the last Business Day of each calendar month (each, an “</w:t>
      </w:r>
      <w:r>
        <w:rPr>
          <w:rFonts w:ascii="Times New Roman;Times;Serif" w:hAnsi="Times New Roman;Times;Serif"/>
          <w:b w:val="false"/>
          <w:i w:val="false"/>
          <w:caps w:val="false"/>
          <w:smallCaps w:val="false"/>
          <w:sz w:val="20"/>
          <w:u w:val="single"/>
        </w:rPr>
        <w:t>IF Issuance Date</w:t>
      </w:r>
      <w:r>
        <w:rPr>
          <w:rFonts w:ascii="Times New Roman;Times;Serif" w:hAnsi="Times New Roman;Times;Serif"/>
          <w:b w:val="false"/>
          <w:i w:val="false"/>
          <w:caps w:val="false"/>
          <w:smallCaps w:val="false"/>
          <w:sz w:val="20"/>
        </w:rPr>
        <w:t>”), in a principal amount equal to the Company’s anticipated budget for the immediately following calendar month (each, a “</w:t>
      </w:r>
      <w:r>
        <w:rPr>
          <w:rFonts w:ascii="Times New Roman;Times;Serif" w:hAnsi="Times New Roman;Times;Serif"/>
          <w:b w:val="false"/>
          <w:i w:val="false"/>
          <w:caps w:val="false"/>
          <w:smallCaps w:val="false"/>
          <w:sz w:val="20"/>
          <w:u w:val="single"/>
        </w:rPr>
        <w:t>Monthly Budget</w:t>
      </w:r>
      <w:r>
        <w:rPr>
          <w:rFonts w:ascii="Times New Roman;Times;Serif" w:hAnsi="Times New Roman;Times;Serif"/>
          <w:b w:val="false"/>
          <w:i w:val="false"/>
          <w:caps w:val="false"/>
          <w:smallCaps w:val="false"/>
          <w:sz w:val="20"/>
        </w:rPr>
        <w:t>”), as communicated by the Company to Purchaser in accordance with Section 6.12(c); provided, however, that, except with the prior approval of the Purchaser, the aggregate principal amount of IF Bonds issued on any single IF Issuance Date shall not exceed EUR 1,000,000 (one million Euros) (the “</w:t>
      </w:r>
      <w:r>
        <w:rPr>
          <w:rFonts w:ascii="Times New Roman;Times;Serif" w:hAnsi="Times New Roman;Times;Serif"/>
          <w:b w:val="false"/>
          <w:i w:val="false"/>
          <w:caps w:val="false"/>
          <w:smallCaps w:val="false"/>
          <w:sz w:val="20"/>
          <w:u w:val="single"/>
        </w:rPr>
        <w:t>Monthly Cap</w:t>
      </w:r>
      <w:r>
        <w:rPr>
          <w:rFonts w:ascii="Times New Roman;Times;Serif" w:hAnsi="Times New Roman;Times;Serif"/>
          <w:b w:val="false"/>
          <w:i w:val="false"/>
          <w:caps w:val="false"/>
          <w:smallCaps w:val="false"/>
          <w:sz w:val="20"/>
        </w:rPr>
        <w:t>”) and that the aggregate principal amount of all IF Bonds to be issued shall not exceed EUR 3,000,000 (three million Euros) (the “</w:t>
      </w:r>
      <w:r>
        <w:rPr>
          <w:rFonts w:ascii="Times New Roman;Times;Serif" w:hAnsi="Times New Roman;Times;Serif"/>
          <w:b w:val="false"/>
          <w:i w:val="false"/>
          <w:caps w:val="false"/>
          <w:smallCaps w:val="false"/>
          <w:sz w:val="20"/>
          <w:u w:val="single"/>
        </w:rPr>
        <w:t>Global Cap</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Budget Communication. No later than five (5) Business Days prior to each IF Issuance Date, the Company shall deliver to Purchaser a written notice setting forth in reasonable detail the Monthly Budget (with a line per specific expense) for the immediately following calendar month, together with reasonable supporting documentation. Purchaser shall have the right to review and discuss the Monthly Budget with the Company and the Sellers Representatives, it being understood that the Monthly Budget shall be prepared in good faith by the Company and shall reflect the Company’s reasonable estimate of its anticipated operating expenses for the relevant period. In the event of a disagreement between Purchaser and the Company regarding the Monthly Budget, such Parties shall negotiate in good faith to resolve such disagreement prior to the relevant IF Issuance Date. In absence of agreement between such Parties, on the Monthly Budget, the amount associated to the concern month in the Approved Q2 Budget shall be the deemed Monthly Budget approved.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Subscription of the IF Bonds. The Purchaser undertakes to subscribe and pay the IF Bonds to be issued on a specific IF Issuance Date, within five (5) Business Days of their issuance, subject to the conditions provided pursuant to the IF Bonds Terms as conditions to the subscription undertaking being satisfied on such date, provided that the principal amount of the IF Bonds to be issued on that IF Issuance Date is the agreed or deemed agreed amount (as prescribed in 6.12(c)) and does not exceed the Monthly Cap and the aggregate principal amount of the outstanding IF Bonds and IF Bonds to be issued on that IF Issuance Date does not exceed the Global Cap.</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Treatment at Closing. The Parties acknowledge and agree that, for purposes of calculating the Purchase Price, the aggregate outstanding principal amount of, and all accrued and unpaid interest on, the IF Bonds as of the Closing Date shall not constitute Indebtedness of the Company but shall be deducted from the Estimated Upfront Consideration, and the portion of the IF Bonds not yet spent by the Company on the Closing Date shall constitute cash for the purpose of the Working Capital calculation, and shall be included in the calculation of the Working Capital Amount and the Final Working Capital, as applicable.</w:t>
      </w:r>
    </w:p>
    <w:p>
      <w:pPr>
        <w:pStyle w:val="TextBody"/>
        <w:bidi w:val="0"/>
        <w:spacing w:before="0" w:after="0"/>
        <w:ind w:left="0" w:right="0" w:firstLine="1440"/>
        <w:jc w:val="both"/>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-40-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Absence of Closing. In the absence of Closing and upon termination of this Agreement in accordance with its terms, the IF Bonds shall remain outstanding and in full force and effect in accordance with the IF Bond Terms until their stated maturity date, as further specified in the IF Bond Terms.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6.13. </w:t>
      </w:r>
      <w:r>
        <w:rPr>
          <w:rFonts w:ascii="Times New Roman;Times;Serif" w:hAnsi="Times New Roman;Times;Serif"/>
          <w:b w:val="false"/>
          <w:i/>
          <w:caps w:val="false"/>
          <w:smallCaps w:val="false"/>
          <w:sz w:val="20"/>
        </w:rPr>
        <w:t>Transitional Integration Committee</w:t>
      </w:r>
      <w:r>
        <w:rPr>
          <w:rFonts w:ascii="Times New Roman;Times;Serif" w:hAnsi="Times New Roman;Times;Serif"/>
          <w:b w:val="false"/>
          <w:i w:val="false"/>
          <w:caps w:val="false"/>
          <w:smallCaps w:val="false"/>
          <w:sz w:val="20"/>
        </w:rPr>
        <w:t xml:space="preserve"> The Parties agree to establish a transitional integration committee (the “</w:t>
      </w:r>
      <w:r>
        <w:rPr>
          <w:rFonts w:ascii="Times New Roman;Times;Serif" w:hAnsi="Times New Roman;Times;Serif"/>
          <w:b w:val="false"/>
          <w:i w:val="false"/>
          <w:caps w:val="false"/>
          <w:smallCaps w:val="false"/>
          <w:sz w:val="20"/>
          <w:u w:val="single"/>
        </w:rPr>
        <w:t>Integration Committee</w:t>
      </w:r>
      <w:r>
        <w:rPr>
          <w:rFonts w:ascii="Times New Roman;Times;Serif" w:hAnsi="Times New Roman;Times;Serif"/>
          <w:b w:val="false"/>
          <w:i w:val="false"/>
          <w:caps w:val="false"/>
          <w:smallCaps w:val="false"/>
          <w:sz w:val="20"/>
        </w:rPr>
        <w:t>”) for the sole purpose of facilitating knowledge transfer and ensuring continuity of ongoing activities of the Company following the Closing. The Integration Committee shall serve in an advisory capacity only and shall have no decision-making authority with respect to the management, operations or governance of the Company or Purchaser.</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Composition. The Integration Committee shall be comprised of representatives designated by Purchaser and two (2) representatives designated by the Sellers Representatives. Each Party shall designate its initial representatives no later than the Closing Date. Each member of the Integration Committee may be replaced at any time by the Party that designated such member upon written notice to the other Party.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Meetings. The Integration Committee shall meet when deemed beneficial by the members of the Integration Committee, and at least once per quarter, during the term of its existence, at such times and places (including by teleconference or videoconference) as the members may mutually agree.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Duration. The Integration Committee shall commence its activities on the Closing Date and shall automatically dissolve on the earlier of (i) the achievement of the Regulatory Milestone or (ii) the date that is twenty-four (24) months following the Closing Date, unless earlier terminated by mutual agreement of Purchaser and the Sellers Representatives or extended by mutual agreement of Purchaser and the Sellers Representatives.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No Authority. For the avoidance of doubt, the Integration Committee shall have no authority to bind any Party, to make any decisions on behalf of the Company or Purchaser, or to direct the management or employees of the Company or Purchaser. Any recommendations or advice provided by the Integration Committee shall be non-binding and subject to the sole discretion of Purchaser.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Confidentiality. Each member of the Integration Committee shall maintain in strict confidence all non-public information disclosed to or obtained by such member in connection with the activities of the Integration Committee.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6.14. </w:t>
      </w:r>
      <w:r>
        <w:rPr>
          <w:rFonts w:ascii="Times New Roman;Times;Serif" w:hAnsi="Times New Roman;Times;Serif"/>
          <w:b w:val="false"/>
          <w:i/>
          <w:caps w:val="false"/>
          <w:smallCaps w:val="false"/>
          <w:sz w:val="20"/>
        </w:rPr>
        <w:t>Information Rights</w:t>
      </w:r>
      <w:r>
        <w:rPr>
          <w:rFonts w:ascii="Times New Roman;Times;Serif" w:hAnsi="Times New Roman;Times;Serif"/>
          <w:b w:val="false"/>
          <w:i w:val="false"/>
          <w:caps w:val="false"/>
          <w:smallCaps w:val="false"/>
          <w:sz w:val="20"/>
        </w:rPr>
        <w:t xml:space="preserve"> From and after the Closing, Purchaser shall provide to the Sellers Representatives (on behalf of the Sellers) reasonable information, upon request, regarding the development and commercialization of Company Products and as the case may be material development or event which are likely to impede the completion of the Milestones; provided, however, that Purchaser shall have no obligation to disclose any information that Purchaser determines in good faith to be competitively sensitive, proprietary, or the disclosure of which would be reasonably likely to jeopardize any attorney-client privilege or other legal privilege or would violate any applicable Law, including those applicable to a publicly-traded company; provided that Purchaser shall use Commercially Reasonable Efforts to provide such information in a form or manner that provides substantive information addressing such concerns while still providing the Sellers Representatives with meaningful information regarding Milestone progress. All information shared shall be subject to the confidentiality provision of this Agreement (except for the Sellers to which the Seller’s Representatives may share such information). The Sellers Representatives shall execute and deliver to Purchaser a confidentiality agreement in form and substance reasonably satisfactory to Purchaser prior to receiving any such information. The information rights set forth in this Section 6.14 shall automatically terminate upon the earlier of (i) the payment in full of all Earnout Consideration or the expiration of the latest Commercial Milestone Period, or (ii) the date on which no further Earnout Consideration may become payable under this Agreement (it being specify that this shall be notified by the Purchaser and upon such notification the Sellers Representatives may exercise its information right).</w:t>
      </w:r>
    </w:p>
    <w:p>
      <w:pPr>
        <w:pStyle w:val="TextBody"/>
        <w:bidi w:val="0"/>
        <w:spacing w:before="0" w:after="0"/>
        <w:ind w:left="720" w:right="0" w:hanging="0"/>
        <w:jc w:val="both"/>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-41-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6.15. </w:t>
      </w:r>
      <w:r>
        <w:rPr>
          <w:rFonts w:ascii="Times New Roman;Times;Serif" w:hAnsi="Times New Roman;Times;Serif"/>
          <w:b w:val="false"/>
          <w:i/>
          <w:caps w:val="false"/>
          <w:smallCaps w:val="false"/>
          <w:sz w:val="20"/>
        </w:rPr>
        <w:t>Financial Statements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8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Assistance with Reconciliation or Conversion</w:t>
      </w:r>
      <w:r>
        <w:rPr>
          <w:rFonts w:ascii="Times New Roman;Times;Serif" w:hAnsi="Times New Roman;Times;Serif"/>
          <w:b w:val="false"/>
          <w:i w:val="false"/>
          <w:caps w:val="false"/>
          <w:smallCaps w:val="false"/>
          <w:sz w:val="20"/>
        </w:rPr>
        <w:t>. The Parties acknowledge that as part as the Supplemental Required Information Purchaser may have to, and in any event following the Closing, Purchaser must file audited financial statements of the Company (the “</w:t>
      </w:r>
      <w:r>
        <w:rPr>
          <w:rFonts w:ascii="Times New Roman;Times;Serif" w:hAnsi="Times New Roman;Times;Serif"/>
          <w:b w:val="false"/>
          <w:i w:val="false"/>
          <w:caps w:val="false"/>
          <w:smallCaps w:val="false"/>
          <w:sz w:val="20"/>
          <w:u w:val="single"/>
        </w:rPr>
        <w:t>Form 8-K Financial Statements</w:t>
      </w:r>
      <w:r>
        <w:rPr>
          <w:rFonts w:ascii="Times New Roman;Times;Serif" w:hAnsi="Times New Roman;Times;Serif"/>
          <w:b w:val="false"/>
          <w:i w:val="false"/>
          <w:caps w:val="false"/>
          <w:smallCaps w:val="false"/>
          <w:sz w:val="20"/>
        </w:rPr>
        <w:t>”) with the SEC to comply with Rule 3-05, Rule 3-14 or Article 11 of Regulation S-X under the Securities Act (“</w:t>
      </w:r>
      <w:r>
        <w:rPr>
          <w:rFonts w:ascii="Times New Roman;Times;Serif" w:hAnsi="Times New Roman;Times;Serif"/>
          <w:b w:val="false"/>
          <w:i w:val="false"/>
          <w:caps w:val="false"/>
          <w:smallCaps w:val="false"/>
          <w:sz w:val="20"/>
          <w:u w:val="single"/>
        </w:rPr>
        <w:t>Regulation S-X</w:t>
      </w:r>
      <w:r>
        <w:rPr>
          <w:rFonts w:ascii="Times New Roman;Times;Serif" w:hAnsi="Times New Roman;Times;Serif"/>
          <w:b w:val="false"/>
          <w:i w:val="false"/>
          <w:caps w:val="false"/>
          <w:smallCaps w:val="false"/>
          <w:sz w:val="20"/>
        </w:rPr>
        <w:t>”) on a Form 8-K/A (the “</w:t>
      </w:r>
      <w:r>
        <w:rPr>
          <w:rFonts w:ascii="Times New Roman;Times;Serif" w:hAnsi="Times New Roman;Times;Serif"/>
          <w:b w:val="false"/>
          <w:i w:val="false"/>
          <w:caps w:val="false"/>
          <w:smallCaps w:val="false"/>
          <w:sz w:val="20"/>
          <w:u w:val="single"/>
        </w:rPr>
        <w:t>Purchaser Form 8-K/A</w:t>
      </w:r>
      <w:r>
        <w:rPr>
          <w:rFonts w:ascii="Times New Roman;Times;Serif" w:hAnsi="Times New Roman;Times;Serif"/>
          <w:b w:val="false"/>
          <w:i w:val="false"/>
          <w:caps w:val="false"/>
          <w:smallCaps w:val="false"/>
          <w:sz w:val="20"/>
        </w:rPr>
        <w:t>”), provided such filing may be made within the maximum timeframe permitted by SEC regulations (the “</w:t>
      </w:r>
      <w:r>
        <w:rPr>
          <w:rFonts w:ascii="Times New Roman;Times;Serif" w:hAnsi="Times New Roman;Times;Serif"/>
          <w:b w:val="false"/>
          <w:i w:val="false"/>
          <w:caps w:val="false"/>
          <w:smallCaps w:val="false"/>
          <w:sz w:val="20"/>
          <w:u w:val="single"/>
        </w:rPr>
        <w:t>Grace Period</w:t>
      </w:r>
      <w:r>
        <w:rPr>
          <w:rFonts w:ascii="Times New Roman;Times;Serif" w:hAnsi="Times New Roman;Times;Serif"/>
          <w:b w:val="false"/>
          <w:i w:val="false"/>
          <w:caps w:val="false"/>
          <w:smallCaps w:val="false"/>
          <w:sz w:val="20"/>
        </w:rPr>
        <w:t>”). Purchaser shall be primarily responsible for the preparation and filing of such Form 8-K Financial Statements. During the period from the date of this Agreement until the finalization of such Form 8-K Financial Statements for use in the Purchaser Form 8-K/A, the Company shall use Commercially Reasonable Efforts to cooperate with Purchaser, its auditors, and its advisors to assist in the conversion or reconciliation of the Company’s historical financial statements prepared in accordance with French GAAP reconciled to either IFRS or US GAAP, as requested by Purchaser and in a manner satisfactory to Purchaser and its auditors with an aim to comply with Regulation S-X and applicable guidance thereunder, as soon as reasonably practicable (but in no event later than the 60</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calendar day following Closing). All costs and expenses incurred in connection with such conversion or reconciliation (including fees of auditors and advisors) shall be borne by Purchaser. Such cooperation shall include: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Providing detailed account reconciliations, supporting documentation, and work papers for the period of time as from 1</w:t>
      </w:r>
      <w:r>
        <w:rPr>
          <w:rFonts w:ascii="Times New Roman;Times;Serif" w:hAnsi="Times New Roman;Times;Serif"/>
          <w:b w:val="false"/>
          <w:i w:val="false"/>
          <w:caps w:val="false"/>
          <w:smallCaps w:val="false"/>
          <w:position w:val="7"/>
          <w:sz w:val="16"/>
          <w:sz w:val="20"/>
        </w:rPr>
        <w:t>st</w:t>
      </w:r>
      <w:r>
        <w:rPr>
          <w:rFonts w:ascii="Times New Roman;Times;Serif" w:hAnsi="Times New Roman;Times;Serif"/>
          <w:b w:val="false"/>
          <w:i w:val="false"/>
          <w:caps w:val="false"/>
          <w:smallCaps w:val="false"/>
          <w:sz w:val="20"/>
        </w:rPr>
        <w:t xml:space="preserve"> January 2024 to the Closing Date;</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Identifying differences between French GAAP used by the Company in the preparation of the Company Financial Statements and either IFRS or US GAAP, as requested by Purchaser including, without limitation, differences related to revenue recognition, lease accounting, and asset valuation; and</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Providing necessary information and assistance for the calculation of fair value adjustments, purchase price allocation, and the treatment of intangibles, as required by ASC 805 (Business Combinations).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8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Pro Forma Financial Information</w:t>
      </w:r>
      <w:r>
        <w:rPr>
          <w:rFonts w:ascii="Times New Roman;Times;Serif" w:hAnsi="Times New Roman;Times;Serif"/>
          <w:b w:val="false"/>
          <w:i w:val="false"/>
          <w:caps w:val="false"/>
          <w:smallCaps w:val="false"/>
          <w:sz w:val="20"/>
        </w:rPr>
        <w:t>. In furtherance of the provisions of subsection (a), the Company shall use Commercially Reasonable Efforts prior to the Closing Date to provide reasonable assistance to, and cooperation with, Purchaser’s preparation of any required pro forma financial information and pro forma financial statements or any required non-GAAP reconciliations to US GAAP, in each case, in accordance with Regulation S-X and other financial information derived from the Form 8-K Financial Statements.</w:t>
      </w:r>
    </w:p>
    <w:p>
      <w:pPr>
        <w:pStyle w:val="TextBody"/>
        <w:bidi w:val="0"/>
        <w:spacing w:before="0" w:after="0"/>
        <w:ind w:left="810" w:right="0" w:hanging="0"/>
        <w:jc w:val="both"/>
        <w:rPr>
          <w:caps w:val="false"/>
          <w:smallCaps w:val="false"/>
        </w:rPr>
      </w:pPr>
      <w:r>
        <w:rPr>
          <w:caps w:val="false"/>
          <w:smallCaps w:val="false"/>
        </w:rPr>
        <w:t> </w:t>
      </w:r>
    </w:p>
    <w:p>
      <w:pPr>
        <w:pStyle w:val="TextBody"/>
        <w:bidi w:val="0"/>
        <w:spacing w:before="0" w:after="0"/>
        <w:ind w:left="0" w:right="0" w:firstLine="8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Access to Personnel and auditors</w:t>
      </w:r>
      <w:r>
        <w:rPr>
          <w:rFonts w:ascii="Times New Roman;Times;Serif" w:hAnsi="Times New Roman;Times;Serif"/>
          <w:b w:val="false"/>
          <w:i w:val="false"/>
          <w:caps w:val="false"/>
          <w:smallCaps w:val="false"/>
          <w:sz w:val="20"/>
        </w:rPr>
        <w:t>. As from the date hereof and until Closing or the earlier termination of this Agreement in accordance with its terms, the Sellers Representatives and the Manager shall make reasonably available the employees of the Company and the Company’s outside accountants and auditors to answer questions and provide information to Purchaser’s financial team regarding the Company’s accounting policies and financial history.</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8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Auditors</w:t>
      </w:r>
      <w:r>
        <w:rPr>
          <w:rFonts w:ascii="Times New Roman;Times;Serif" w:hAnsi="Times New Roman;Times;Serif"/>
          <w:b w:val="false"/>
          <w:i w:val="false"/>
          <w:caps w:val="false"/>
          <w:smallCaps w:val="false"/>
          <w:sz w:val="20"/>
        </w:rPr>
        <w:t>. The Company shall consider in good faith the recommendations of Purchaser with respect to the renewal of the current statutory auditor or appointment of a new statutory auditor prior to Closing (and shall not proceed with such renewal or appointment without having first consulted the Purchaser).</w:t>
      </w:r>
    </w:p>
    <w:p>
      <w:pPr>
        <w:pStyle w:val="TextBody"/>
        <w:bidi w:val="0"/>
        <w:spacing w:before="0" w:after="0"/>
        <w:ind w:left="720" w:right="0" w:hanging="0"/>
        <w:jc w:val="both"/>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-42-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Article VII</w:t>
      </w:r>
      <w:r>
        <w:rPr>
          <w:rFonts w:ascii="Times New Roman;Times;Serif" w:hAnsi="Times New Roman;Times;Serif"/>
          <w:b/>
          <w:i w:val="false"/>
          <w:caps w:val="false"/>
          <w:smallCaps w:val="false"/>
          <w:sz w:val="20"/>
        </w:rPr>
        <w:br/>
        <w:br/>
      </w:r>
      <w:r>
        <w:rPr>
          <w:rFonts w:ascii="Times New Roman;Times;Serif" w:hAnsi="Times New Roman;Times;Serif"/>
          <w:b/>
          <w:i w:val="false"/>
          <w:caps/>
          <w:sz w:val="20"/>
        </w:rPr>
        <w:t>CONDITIONS TO CLOSING</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7.1. </w:t>
      </w:r>
      <w:r>
        <w:rPr>
          <w:rFonts w:ascii="Times New Roman;Times;Serif" w:hAnsi="Times New Roman;Times;Serif"/>
          <w:b w:val="false"/>
          <w:i/>
          <w:caps w:val="false"/>
          <w:smallCaps w:val="false"/>
          <w:sz w:val="20"/>
        </w:rPr>
        <w:t>Conditions to Obligations of all Parties</w:t>
      </w:r>
      <w:r>
        <w:rPr>
          <w:rFonts w:ascii="Times New Roman;Times;Serif" w:hAnsi="Times New Roman;Times;Serif"/>
          <w:b w:val="false"/>
          <w:i w:val="false"/>
          <w:caps w:val="false"/>
          <w:smallCaps w:val="false"/>
          <w:sz w:val="20"/>
        </w:rPr>
        <w:t>. The obligations of the Parties to consummate the Transactions provided for by this Agreement are subject to the satisfaction, on or before the Closing Date, of each of the following conditions, any of which may only be waived by mutual agreement of the Purchaser and the Sellers Representatives: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caps w:val="false"/>
          <w:smallCaps w:val="false"/>
          <w:sz w:val="20"/>
        </w:rPr>
        <w:t>Injunctions or Restraints</w:t>
      </w:r>
      <w:r>
        <w:rPr>
          <w:rFonts w:ascii="Times New Roman;Times;Serif" w:hAnsi="Times New Roman;Times;Serif"/>
          <w:b w:val="false"/>
          <w:i w:val="false"/>
          <w:caps w:val="false"/>
          <w:smallCaps w:val="false"/>
          <w:sz w:val="20"/>
        </w:rPr>
        <w:t>. No Law or Proceeding shall be in effect against or involving the Purchaser, the Company or any Seller that would prevent the consummation of the Transactions.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caps w:val="false"/>
          <w:smallCaps w:val="false"/>
          <w:sz w:val="20"/>
        </w:rPr>
        <w:t>FDI Clearance.</w:t>
      </w:r>
      <w:r>
        <w:rPr>
          <w:rFonts w:ascii="Times New Roman;Times;Serif" w:hAnsi="Times New Roman;Times;Serif"/>
          <w:b w:val="false"/>
          <w:i w:val="false"/>
          <w:caps w:val="false"/>
          <w:smallCaps w:val="false"/>
          <w:sz w:val="20"/>
        </w:rPr>
        <w:t xml:space="preserve"> The FDI Clearance shall be obtained from the Investment Control Authority.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Purchaser undertakes to prepare and make, with the assistance of the Sellers and the Company, at the latest on the fifth (5th) Business Day following the date of this Agreement, a filing with the Investment Control Authority with respect to the FDI Clearance (the “</w:t>
      </w:r>
      <w:r>
        <w:rPr>
          <w:rFonts w:ascii="Times New Roman;Times;Serif" w:hAnsi="Times New Roman;Times;Serif"/>
          <w:b w:val="false"/>
          <w:i w:val="false"/>
          <w:caps w:val="false"/>
          <w:smallCaps w:val="false"/>
          <w:sz w:val="20"/>
          <w:u w:val="single"/>
        </w:rPr>
        <w:t>FDI Filing</w:t>
      </w:r>
      <w:r>
        <w:rPr>
          <w:rFonts w:ascii="Times New Roman;Times;Serif" w:hAnsi="Times New Roman;Times;Serif"/>
          <w:b w:val="false"/>
          <w:i w:val="false"/>
          <w:caps w:val="false"/>
          <w:smallCaps w:val="false"/>
          <w:sz w:val="20"/>
        </w:rPr>
        <w:t>”), it being specified that the Sellers and the Company have, prior to the date hereof, provided the Purchaser with all documents or information related to the Company reasonably required by the Purchaser.</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Subject to applicable Law, the Purchaser shall: (i) allow the Sellers Representatives, or, in the event of confidentiality issues, its external legal counsel, to comment on all substantial submissions to the Investment Control Authority, (ii) consider any such comments in its discretion, and (iii) in a timely manner provide the Sellers Representatives, or, in the event of confidentiality issues, its external legal counsel, with copies of the FDI Filing together with all other material correspondence with the Investment Control Authority, provided that such documents may be redacted to the extent that they contain any confidential information relating to the Purchaser or any of its Affiliates or as necessary to comply with any contractual obligation or with applicable Law. Absent any objection from the Investment Control Authority, the Purchaser may, in its sole discretion, give the Sellers Representatives or its external legal counsel, with reasonable prior notice, the opportunity to participate in meetings and conferences with the Investment Control Authority, provided that Purchaser may exclude Sellers Representatives from any discussions involving confidential business strategy or competitive information.</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Purchaser undertakes to keep the Sellers Representatives regularly informed of the progress of the FDI Filing and, in particular, to notify the Sellers Representatives of the FDI Clearance on the first Business Day following the day on which it has been obtained and to immediately inform the Sellers Representatives if it becomes aware of anything that could result in the FDI Clearance being delayed or denied.</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The Purchaser shall pay any and all filing and similar fees payable in connection with the FDI Filing.</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The Sellers shall, to the extent legally permissible, and within the limits of their respective powers as shareholders, board members, or officers of the Company, as the case may be, procure that the Company will provide the Purchaser, its advisers and any relevant regulatory authority with any necessary information and documentary material that may be requested by the Investment Control Authority in connection with the FDI Clearance and more generally shall cooperate in good faith with the Purchaser with a view to ensure that the FDI Clearance is granted in a timely manner.</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7.2. </w:t>
      </w:r>
      <w:r>
        <w:rPr>
          <w:rFonts w:ascii="Times New Roman;Times;Serif" w:hAnsi="Times New Roman;Times;Serif"/>
          <w:b w:val="false"/>
          <w:i/>
          <w:caps w:val="false"/>
          <w:smallCaps w:val="false"/>
          <w:sz w:val="20"/>
        </w:rPr>
        <w:t>Conditions to Obligations of the Purchaser</w:t>
      </w:r>
      <w:r>
        <w:rPr>
          <w:rFonts w:ascii="Times New Roman;Times;Serif" w:hAnsi="Times New Roman;Times;Serif"/>
          <w:b w:val="false"/>
          <w:i w:val="false"/>
          <w:caps w:val="false"/>
          <w:smallCaps w:val="false"/>
          <w:sz w:val="20"/>
        </w:rPr>
        <w:t>. The obligations of the Purchaser to consummate the Transactions provided for by this Agreement are subject to the satisfaction, on or before the Closing Date, of each of the following conditions, any of which may be waived by the Purchaser in its sole discretion: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caps w:val="false"/>
          <w:smallCaps w:val="false"/>
          <w:sz w:val="20"/>
        </w:rPr>
        <w:t>Representations and Warranties</w:t>
      </w:r>
      <w:r>
        <w:rPr>
          <w:rFonts w:ascii="Times New Roman;Times;Serif" w:hAnsi="Times New Roman;Times;Serif"/>
          <w:b w:val="false"/>
          <w:i w:val="false"/>
          <w:caps w:val="false"/>
          <w:smallCaps w:val="false"/>
          <w:sz w:val="20"/>
        </w:rPr>
        <w:t>. All representations and warranties of the Company and the Sellers contained in this Agreement will be true and correct in all material respects at and as of the date of this Agreement and at and as of the Closing Date, except if any such representations and warranties expressly relate to a specific date, then such representations and warranties will be true and correct as of such date.</w:t>
      </w:r>
    </w:p>
    <w:p>
      <w:pPr>
        <w:pStyle w:val="TextBody"/>
        <w:bidi w:val="0"/>
        <w:spacing w:before="0" w:after="0"/>
        <w:ind w:left="0" w:right="0" w:firstLine="1440"/>
        <w:jc w:val="both"/>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-43-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caps w:val="false"/>
          <w:smallCaps w:val="false"/>
          <w:sz w:val="20"/>
        </w:rPr>
        <w:t>Performance of Obligations of Sellers</w:t>
      </w:r>
      <w:r>
        <w:rPr>
          <w:rFonts w:ascii="Times New Roman;Times;Serif" w:hAnsi="Times New Roman;Times;Serif"/>
          <w:b w:val="false"/>
          <w:i w:val="false"/>
          <w:caps w:val="false"/>
          <w:smallCaps w:val="false"/>
          <w:sz w:val="20"/>
        </w:rPr>
        <w:t>. Sellers shall have performed in all material respects all obligations required to be performed by Sellers under this Agreement at or prior to the Closing Date.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caps w:val="false"/>
          <w:smallCaps w:val="false"/>
          <w:sz w:val="20"/>
        </w:rPr>
        <w:t>Material Adverse Effect</w:t>
      </w:r>
      <w:r>
        <w:rPr>
          <w:rFonts w:ascii="Times New Roman;Times;Serif" w:hAnsi="Times New Roman;Times;Serif"/>
          <w:b w:val="false"/>
          <w:i w:val="false"/>
          <w:caps w:val="false"/>
          <w:smallCaps w:val="false"/>
          <w:sz w:val="20"/>
        </w:rPr>
        <w:t>. During the period from the date of this Agreement through the Closing Date, there shall not have occurred any Material Adverse Effect with respect to the Company which is still ongoing at the date of the Pre-Closing Statement or the Closing Date;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caps w:val="false"/>
          <w:smallCaps w:val="false"/>
          <w:sz w:val="20"/>
        </w:rPr>
        <w:t>Closing Deliveries</w:t>
      </w:r>
      <w:r>
        <w:rPr>
          <w:rFonts w:ascii="Times New Roman;Times;Serif" w:hAnsi="Times New Roman;Times;Serif"/>
          <w:b w:val="false"/>
          <w:i w:val="false"/>
          <w:caps w:val="false"/>
          <w:smallCaps w:val="false"/>
          <w:sz w:val="20"/>
        </w:rPr>
        <w:t>. Purchaser shall have received all deliverables in accordance with Section 2.2(b).</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caps w:val="false"/>
          <w:smallCaps w:val="false"/>
          <w:sz w:val="20"/>
        </w:rPr>
        <w:t>Debt Restructuring</w:t>
      </w:r>
      <w:r>
        <w:rPr>
          <w:rFonts w:ascii="Times New Roman;Times;Serif" w:hAnsi="Times New Roman;Times;Serif"/>
          <w:b w:val="false"/>
          <w:i w:val="false"/>
          <w:caps w:val="false"/>
          <w:smallCaps w:val="false"/>
          <w:sz w:val="20"/>
        </w:rPr>
        <w:t xml:space="preserve">. Sellers and Company shall have completed the Debt Restructuring in a manner consistent with the terms set forth in </w:t>
      </w:r>
      <w:r>
        <w:rPr>
          <w:rFonts w:ascii="Times New Roman;Times;Serif" w:hAnsi="Times New Roman;Times;Serif"/>
          <w:b w:val="false"/>
          <w:i w:val="false"/>
          <w:caps w:val="false"/>
          <w:smallCaps w:val="false"/>
          <w:sz w:val="20"/>
          <w:u w:val="single"/>
        </w:rPr>
        <w:t>Exhibit 7.2(e)</w:t>
      </w:r>
      <w:r>
        <w:rPr>
          <w:rFonts w:ascii="Times New Roman;Times;Serif" w:hAnsi="Times New Roman;Times;Serif"/>
          <w:b w:val="false"/>
          <w:i w:val="false"/>
          <w:caps w:val="false"/>
          <w:smallCaps w:val="false"/>
          <w:sz w:val="20"/>
        </w:rPr>
        <w:t xml:space="preserve"> hereto and the competent court shall have approved </w:t>
      </w:r>
      <w:r>
        <w:rPr>
          <w:rFonts w:ascii="Times New Roman;Times;Serif" w:hAnsi="Times New Roman;Times;Serif"/>
          <w:b w:val="false"/>
          <w:i/>
          <w:caps w:val="false"/>
          <w:smallCaps w:val="false"/>
          <w:sz w:val="20"/>
        </w:rPr>
        <w:t>(homologation)</w:t>
      </w:r>
      <w:r>
        <w:rPr>
          <w:rFonts w:ascii="Times New Roman;Times;Serif" w:hAnsi="Times New Roman;Times;Serif"/>
          <w:b w:val="false"/>
          <w:i w:val="false"/>
          <w:caps w:val="false"/>
          <w:smallCaps w:val="false"/>
          <w:sz w:val="20"/>
        </w:rPr>
        <w:t xml:space="preserve"> the Conciliation Protocol implementing the Debt Restructuring and granting to the Purchaser the benefit of the provisions of article L. 611-11 of the French Commercial Code </w:t>
      </w:r>
      <w:r>
        <w:rPr>
          <w:rFonts w:ascii="Times New Roman;Times;Serif" w:hAnsi="Times New Roman;Times;Serif"/>
          <w:b w:val="false"/>
          <w:i/>
          <w:caps w:val="false"/>
          <w:smallCaps w:val="false"/>
          <w:sz w:val="20"/>
        </w:rPr>
        <w:t>(privilege de new money)</w:t>
      </w:r>
      <w:r>
        <w:rPr>
          <w:rFonts w:ascii="Times New Roman;Times;Serif" w:hAnsi="Times New Roman;Times;Serif"/>
          <w:b w:val="false"/>
          <w:i w:val="false"/>
          <w:caps w:val="false"/>
          <w:smallCaps w:val="false"/>
          <w:sz w:val="20"/>
        </w:rPr>
        <w:t>, executed prior to Closing in accordance with Articles L. 611-8 et seq. of the French Commercial Code.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caps w:val="false"/>
          <w:smallCaps w:val="false"/>
          <w:sz w:val="20"/>
        </w:rPr>
        <w:t xml:space="preserve">ODI Shareholders. </w:t>
      </w:r>
      <w:r>
        <w:rPr>
          <w:rFonts w:ascii="Times New Roman;Times;Serif" w:hAnsi="Times New Roman;Times;Serif"/>
          <w:b w:val="false"/>
          <w:i w:val="false"/>
          <w:caps w:val="false"/>
          <w:smallCaps w:val="false"/>
          <w:sz w:val="20"/>
        </w:rPr>
        <w:t>Solely as to the Purchaser’s obligations to issue Upfront Stock Consideration or Earnout Consideration payable in shares of Purchaser Common Stock to an ODI Shareholder, each such ODI Shareholder shall have either (i) completed its ODI Registration (as evidenced by the receipt of the ODI Registration certificates and filing proofs issued by competent authorities) or (ii) completed a Pre-Closing Transfer in accordance with Section 10.3(c) below.</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7.3. </w:t>
      </w:r>
      <w:r>
        <w:rPr>
          <w:rFonts w:ascii="Times New Roman;Times;Serif" w:hAnsi="Times New Roman;Times;Serif"/>
          <w:b w:val="false"/>
          <w:i/>
          <w:caps w:val="false"/>
          <w:smallCaps w:val="false"/>
          <w:sz w:val="20"/>
        </w:rPr>
        <w:t>Conditions to Obligations of Sellers</w:t>
      </w:r>
      <w:r>
        <w:rPr>
          <w:rFonts w:ascii="Times New Roman;Times;Serif" w:hAnsi="Times New Roman;Times;Serif"/>
          <w:b w:val="false"/>
          <w:i w:val="false"/>
          <w:caps w:val="false"/>
          <w:smallCaps w:val="false"/>
          <w:sz w:val="20"/>
        </w:rPr>
        <w:t>. The obligations of the Sellers to consummate the Transactions provided for by this Agreement are subject to the satisfaction, on or before the Closing Date, of each of the following conditions, any of which may be waived by the Sellers Representatives in its sole discretion: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caps w:val="false"/>
          <w:smallCaps w:val="false"/>
          <w:sz w:val="20"/>
        </w:rPr>
        <w:t>Representations and Warranties</w:t>
      </w:r>
      <w:r>
        <w:rPr>
          <w:rFonts w:ascii="Times New Roman;Times;Serif" w:hAnsi="Times New Roman;Times;Serif"/>
          <w:b w:val="false"/>
          <w:i w:val="false"/>
          <w:caps w:val="false"/>
          <w:smallCaps w:val="false"/>
          <w:sz w:val="20"/>
        </w:rPr>
        <w:t>. All representations and warranties of the Purchaser contained in this Agreement will be true and correct in all material respects at and as of the date of this Agreement and at and as of the Closing Date, except if any such representations and warranties expressly relate to a specific date, then such representations and warranties will be true and correct as of such date (in each case, without giving effect to materiality qualifications or Material Adverse Effect qualifications).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caps w:val="false"/>
          <w:smallCaps w:val="false"/>
          <w:sz w:val="20"/>
        </w:rPr>
        <w:t>Performance of Obligations of Purchaser</w:t>
      </w:r>
      <w:r>
        <w:rPr>
          <w:rFonts w:ascii="Times New Roman;Times;Serif" w:hAnsi="Times New Roman;Times;Serif"/>
          <w:b w:val="false"/>
          <w:i w:val="false"/>
          <w:caps w:val="false"/>
          <w:smallCaps w:val="false"/>
          <w:sz w:val="20"/>
        </w:rPr>
        <w:t>. Purchaser shall have performed in all material respects all obligations required to be performed by it under this Agreement at or prior to the Closing Date.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caps w:val="false"/>
          <w:smallCaps w:val="false"/>
          <w:sz w:val="20"/>
        </w:rPr>
        <w:t>Closing Deliveries</w:t>
      </w:r>
      <w:r>
        <w:rPr>
          <w:rFonts w:ascii="Times New Roman;Times;Serif" w:hAnsi="Times New Roman;Times;Serif"/>
          <w:b w:val="false"/>
          <w:i w:val="false"/>
          <w:caps w:val="false"/>
          <w:smallCaps w:val="false"/>
          <w:sz w:val="20"/>
        </w:rPr>
        <w:t>. Sellers Representatives shall have received all deliverables in accordance with Section 2.2(a).</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7.4. </w:t>
      </w:r>
      <w:r>
        <w:rPr>
          <w:rFonts w:ascii="Times New Roman;Times;Serif" w:hAnsi="Times New Roman;Times;Serif"/>
          <w:b w:val="false"/>
          <w:i w:val="false"/>
          <w:caps w:val="false"/>
          <w:smallCaps w:val="false"/>
          <w:sz w:val="20"/>
        </w:rPr>
        <w:t>Satisfaction of Conditions.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General Obligation. Each of the Parties shall use Commercially Reasonable Efforts to take, or cause to be taken, all actions and to do, or cause to be done, all things necessary, proper or advisable to satisfy the conditions set forth in Article VII as promptly as practicable and, in any event, prior to the End Date (save for with respect to the FDI Clearance, in relation to which the Purchaser shall have no obligation other than those expressly set forth in this Agreement), including (i) preparing and filing as promptly as practicable all documentation to effect all necessary filings, notifications, submissions, and applications to any Governmental Entity, (ii) obtaining as promptly as practicable all consents, approvals, authorizations, qualifications and orders of any Governmental Entity or other Person required to be obtained in connection with the consummation of the Transactions, and (iii) executing and delivering such additional instruments, documents, and agreements as may be reasonably necessary or appropriate to carry out the purposes and intent of this Agreement. It is specified that, with respect to any Seller that is not involved in the operations of the Company, such Seller’s obligations to use Commercially Reasonable Efforts shall be undertaken solely in its capacity as a shareholder and shall be limited to its respective powers and rights in such capacity.</w:t>
      </w:r>
    </w:p>
    <w:p>
      <w:pPr>
        <w:pStyle w:val="TextBody"/>
        <w:bidi w:val="0"/>
        <w:spacing w:before="0" w:after="0"/>
        <w:ind w:left="0" w:right="0" w:firstLine="1440"/>
        <w:jc w:val="both"/>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-44-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Cooperation. Each Party shall, and shall cause its respective Affiliates and Representatives to, cooperate in good faith with the other Parties and their respective Affiliates and Representatives in connection with the satisfaction of the conditions set forth in Article XII, including by promptly furnishing to the other Parties all information and documentation reasonably required in connection with any filing, notification, submission or application to any Governmental Entity. No Party shall take any action, or omit to take any action, that would, or would reasonably be expected to, (i) result in any condition set forth in Article XII not being satisfied, (ii) materially impede or delay the satisfaction of any such condition, or (iii) otherwise prevent or materially delay the consummation of the Transactions.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Notification of Impediments. Each Party shall promptly (and in any event within three (3) Business Days) notify the other Parties in writing upon becoming aware of any fact, event, circumstance or development that has occurred or that is reasonably likely to occur that would, or would reasonably be expected to, (A) result in any condition set forth in Article XII not being satisfied prior to the End Date, (B) materially impede or delay the satisfaction of any such condition, or (C) otherwise prevent or materially delay the consummation of the Transactions.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Article VIII</w:t>
      </w:r>
      <w:r>
        <w:rPr>
          <w:rFonts w:ascii="Times New Roman;Times;Serif" w:hAnsi="Times New Roman;Times;Serif"/>
          <w:b/>
          <w:i w:val="false"/>
          <w:caps w:val="false"/>
          <w:smallCaps w:val="false"/>
          <w:sz w:val="20"/>
        </w:rPr>
        <w:br/>
        <w:br/>
      </w:r>
      <w:r>
        <w:rPr>
          <w:rFonts w:ascii="Times New Roman;Times;Serif" w:hAnsi="Times New Roman;Times;Serif"/>
          <w:b/>
          <w:i w:val="false"/>
          <w:caps/>
          <w:sz w:val="20"/>
        </w:rPr>
        <w:t>SURVIVAL; INDEMNIFICATION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8.1. </w:t>
      </w:r>
      <w:r>
        <w:rPr>
          <w:rFonts w:ascii="Times New Roman;Times;Serif" w:hAnsi="Times New Roman;Times;Serif"/>
          <w:b w:val="false"/>
          <w:i/>
          <w:caps w:val="false"/>
          <w:smallCaps w:val="false"/>
          <w:sz w:val="20"/>
        </w:rPr>
        <w:t>Survival</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caps w:val="false"/>
          <w:smallCaps w:val="false"/>
          <w:sz w:val="20"/>
        </w:rPr>
        <w:t>General Survival</w:t>
      </w:r>
      <w:r>
        <w:rPr>
          <w:rFonts w:ascii="Times New Roman;Times;Serif" w:hAnsi="Times New Roman;Times;Serif"/>
          <w:b w:val="false"/>
          <w:i w:val="false"/>
          <w:caps w:val="false"/>
          <w:smallCaps w:val="false"/>
          <w:sz w:val="20"/>
        </w:rPr>
        <w:t>. Subject to Section 8.1(b) below, the representations and warranties of the Company contained in Article III of this Agreement or in any certificate delivered pursuant to this Agreement shall survive the Closing until the date that is (i) the 7</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anniversary of the Closing Date with respect to the relevant Fundamental Warranties and Tax Warranties, the 5</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anniversary of the Closing Date with respect to the Employment Warranties, Environmental Warranties and Intellectual Property Warranties and the 3</w:t>
      </w:r>
      <w:r>
        <w:rPr>
          <w:rFonts w:ascii="Times New Roman;Times;Serif" w:hAnsi="Times New Roman;Times;Serif"/>
          <w:b w:val="false"/>
          <w:i w:val="false"/>
          <w:caps w:val="false"/>
          <w:smallCaps w:val="false"/>
          <w:position w:val="7"/>
          <w:sz w:val="16"/>
          <w:sz w:val="20"/>
        </w:rPr>
        <w:t>rd</w:t>
      </w:r>
      <w:r>
        <w:rPr>
          <w:rFonts w:ascii="Times New Roman;Times;Serif" w:hAnsi="Times New Roman;Times;Serif"/>
          <w:b w:val="false"/>
          <w:i w:val="false"/>
          <w:caps w:val="false"/>
          <w:smallCaps w:val="false"/>
          <w:sz w:val="20"/>
        </w:rPr>
        <w:t xml:space="preserve"> anniversary of the Closing Date for any other relevant representation and warranty</w:t>
      </w:r>
      <w:r>
        <w:rPr>
          <w:rFonts w:ascii="Times New Roman;Times;Serif" w:hAnsi="Times New Roman;Times;Serif"/>
          <w:b w:val="false"/>
          <w:i/>
          <w:caps w:val="false"/>
          <w:smallCaps w:val="false"/>
          <w:sz w:val="20"/>
        </w:rPr>
        <w:t>.</w:t>
      </w:r>
      <w:r>
        <w:rPr>
          <w:rFonts w:ascii="Times New Roman;Times;Serif" w:hAnsi="Times New Roman;Times;Serif"/>
          <w:b w:val="false"/>
          <w:i w:val="false"/>
          <w:caps w:val="false"/>
          <w:smallCaps w:val="false"/>
          <w:sz w:val="20"/>
        </w:rPr>
        <w:t xml:space="preserve"> The representations and warranties of the Sellers and of the Purchaser contained in Articles IV or V of this Agreement, respectively, or in any certificate delivered pursuant to this Agreement shall survive the Closing until the date that is the 24-month anniversary of the Closing Date or sixty (60) Business Days after the expiry of the applicable statute of limitations for the relevant Fundamental Warranties (in each case, a “</w:t>
      </w:r>
      <w:r>
        <w:rPr>
          <w:rFonts w:ascii="Times New Roman;Times;Serif" w:hAnsi="Times New Roman;Times;Serif"/>
          <w:b w:val="false"/>
          <w:i w:val="false"/>
          <w:caps w:val="false"/>
          <w:smallCaps w:val="false"/>
          <w:sz w:val="20"/>
          <w:u w:val="single"/>
        </w:rPr>
        <w:t>Claims Cut-Off Date</w:t>
      </w:r>
      <w:r>
        <w:rPr>
          <w:rFonts w:ascii="Times New Roman;Times;Serif" w:hAnsi="Times New Roman;Times;Serif"/>
          <w:b w:val="false"/>
          <w:i w:val="false"/>
          <w:caps w:val="false"/>
          <w:smallCaps w:val="false"/>
          <w:sz w:val="20"/>
        </w:rPr>
        <w:t>”) . Notwithstanding the foregoing, if any Indemnified Party delivers prior to 11:59pm Eastern time on the applicable Claims Cut-Off Date, in the case of a Purchaser Indemnified Party, to the Sellers Representative, and, in the case of a Company Indemnified Party, to Purchaser, a written notice alleging in good faith, the existence of an inaccuracy in or a breach of any of the representations and warranties made herein (and setting forth in reasonable detail the basis for such Indemnified Party’s belief that such an inaccuracy or breach may exist) and asserting a claim for recovery under Section 8.2 based on such alleged inaccuracy or breach (a “</w:t>
      </w:r>
      <w:r>
        <w:rPr>
          <w:rFonts w:ascii="Times New Roman;Times;Serif" w:hAnsi="Times New Roman;Times;Serif"/>
          <w:b w:val="false"/>
          <w:i w:val="false"/>
          <w:caps w:val="false"/>
          <w:smallCaps w:val="false"/>
          <w:sz w:val="20"/>
          <w:u w:val="single"/>
        </w:rPr>
        <w:t>Claim Notice</w:t>
      </w:r>
      <w:r>
        <w:rPr>
          <w:rFonts w:ascii="Times New Roman;Times;Serif" w:hAnsi="Times New Roman;Times;Serif"/>
          <w:b w:val="false"/>
          <w:i w:val="false"/>
          <w:caps w:val="false"/>
          <w:smallCaps w:val="false"/>
          <w:sz w:val="20"/>
        </w:rPr>
        <w:t>”), then the claim or claims asserted in such Claim Notice shall survive until such time as such claim or claims are fully and finally resolved in accordance herewith. Notwithstanding anything to the contrary contained in Section 8.1(a), the limitations set forth in Section 8.1(a) shall not apply in the case of claims arising from Fraud.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caps w:val="false"/>
          <w:smallCaps w:val="false"/>
          <w:sz w:val="20"/>
        </w:rPr>
        <w:t>Certain Covenants and Agreements</w:t>
      </w:r>
      <w:r>
        <w:rPr>
          <w:rFonts w:ascii="Times New Roman;Times;Serif" w:hAnsi="Times New Roman;Times;Serif"/>
          <w:b w:val="false"/>
          <w:i w:val="false"/>
          <w:caps w:val="false"/>
          <w:smallCaps w:val="false"/>
          <w:sz w:val="20"/>
        </w:rPr>
        <w:t>. Notwithstanding anything to the contrary contained in Section 8.1(a), any covenants and agreements of the Parties contained herein that by their terms apply or are to be performed after the Closing shall survive the Closing until they are performed in accordance with their respective terms.</w:t>
      </w:r>
    </w:p>
    <w:p>
      <w:pPr>
        <w:pStyle w:val="TextBody"/>
        <w:bidi w:val="0"/>
        <w:spacing w:before="0" w:after="0"/>
        <w:ind w:left="0" w:right="0" w:firstLine="1440"/>
        <w:jc w:val="both"/>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-45-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8.2. </w:t>
      </w:r>
      <w:r>
        <w:rPr>
          <w:rFonts w:ascii="Times New Roman;Times;Serif" w:hAnsi="Times New Roman;Times;Serif"/>
          <w:b w:val="false"/>
          <w:i/>
          <w:caps w:val="false"/>
          <w:smallCaps w:val="false"/>
          <w:sz w:val="20"/>
        </w:rPr>
        <w:t>Indemnification</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caps w:val="false"/>
          <w:smallCaps w:val="false"/>
          <w:sz w:val="20"/>
        </w:rPr>
        <w:t>Sellers’ Indemnification Obligations</w:t>
      </w:r>
      <w:r>
        <w:rPr>
          <w:rFonts w:ascii="Times New Roman;Times;Serif" w:hAnsi="Times New Roman;Times;Serif"/>
          <w:b w:val="false"/>
          <w:i w:val="false"/>
          <w:caps w:val="false"/>
          <w:smallCaps w:val="false"/>
          <w:sz w:val="20"/>
        </w:rPr>
        <w:t xml:space="preserve">. Subject to the provisions and within the limits set forth in Section 8.3, from and after the Closing, each Seller, severally but not jointly, covenants and agrees to indemnify, defend and hold harmless the Purchaser Indemnified Parties from, against and in respect of all Damages in connection with, resulting from or arising out of, directly or indirectly (whether or not involving a third party claim): (i) the inaccuracy or breach of any representation or warranty made by the Manager or the Company set forth in this Agreement or any certificate delivered pursuant to this Agreement (which is capped in accordance with Section 8.3(g)(i)), (ii) the inaccuracy or breach of any representation or warranty made by such Seller set forth in this Agreement or any certificate delivered by such Seller pursuant to this Agreement, (iii) the breach of any covenant or agreement of such Seller on the part of Company (to the extent required to be performed prior to the Closing) or such Seller set forth in this Agreement;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in each case, that no Purchaser Indemnified Party shall be entitled to recover more than once for the same Damages.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caps w:val="false"/>
          <w:smallCaps w:val="false"/>
          <w:sz w:val="20"/>
        </w:rPr>
        <w:t>Purchaser Indemnification Obligation</w:t>
      </w:r>
      <w:r>
        <w:rPr>
          <w:rFonts w:ascii="Times New Roman;Times;Serif" w:hAnsi="Times New Roman;Times;Serif"/>
          <w:b w:val="false"/>
          <w:i w:val="false"/>
          <w:caps w:val="false"/>
          <w:smallCaps w:val="false"/>
          <w:sz w:val="20"/>
        </w:rPr>
        <w:t xml:space="preserve">. From and after the Closing, Purchaser covenants and agrees to indemnify, defend and hold harmless the Company Indemnified Parties from, against and in respect of all Damages in connection with, resulting from or arising out of, directly or indirectly (whether or not involving a third party claim): (i) the inaccuracy or breach of any representation or warranty made by Purchaser set forth in this Agreement or any certificate delivered pursuant to this Agreement and (ii) the breach of any covenant or agreement on the part of Purchaser set forth in this Agreement;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in each case, that no Company Indemnified Party shall be entitled to recover more than once for the same Damages.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Any amount paid by the Sellers to the Purchaser in satisfaction of a claim under the Agreement will be deemed to be a reduction of the Purchase Price for all Tax, accounting and financial standpoint, to the extent allowable under applicable Law, and will be treated as such by the Parties.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8.3. </w:t>
      </w:r>
      <w:r>
        <w:rPr>
          <w:rFonts w:ascii="Times New Roman;Times;Serif" w:hAnsi="Times New Roman;Times;Serif"/>
          <w:b w:val="false"/>
          <w:i/>
          <w:caps w:val="false"/>
          <w:smallCaps w:val="false"/>
          <w:sz w:val="20"/>
        </w:rPr>
        <w:t>Limitations on Indemnification</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Except in cases of Fraud, no claim under Section 8.2(a)(i) may be made by the Purchaser Indemnified Parties (i) for any Damages with respect to any individual claim or claims for a series of related breaches arising out of similar facts and circumstances (a “</w:t>
      </w:r>
      <w:r>
        <w:rPr>
          <w:rFonts w:ascii="Times New Roman;Times;Serif" w:hAnsi="Times New Roman;Times;Serif"/>
          <w:b w:val="false"/>
          <w:i w:val="false"/>
          <w:caps w:val="false"/>
          <w:smallCaps w:val="false"/>
          <w:sz w:val="20"/>
          <w:u w:val="single"/>
        </w:rPr>
        <w:t>Related Claim</w:t>
      </w:r>
      <w:r>
        <w:rPr>
          <w:rFonts w:ascii="Times New Roman;Times;Serif" w:hAnsi="Times New Roman;Times;Serif"/>
          <w:b w:val="false"/>
          <w:i w:val="false"/>
          <w:caps w:val="false"/>
          <w:smallCaps w:val="false"/>
          <w:sz w:val="20"/>
        </w:rPr>
        <w:t>”), if the amount of such Damages is less than $[***] (“</w:t>
      </w:r>
      <w:r>
        <w:rPr>
          <w:rFonts w:ascii="Times New Roman;Times;Serif" w:hAnsi="Times New Roman;Times;Serif"/>
          <w:b w:val="false"/>
          <w:i w:val="false"/>
          <w:caps w:val="false"/>
          <w:smallCaps w:val="false"/>
          <w:sz w:val="20"/>
          <w:u w:val="single"/>
        </w:rPr>
        <w:t>De Minimis Damages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 that</w:t>
      </w:r>
      <w:r>
        <w:rPr>
          <w:rFonts w:ascii="Times New Roman;Times;Serif" w:hAnsi="Times New Roman;Times;Serif"/>
          <w:b w:val="false"/>
          <w:i w:val="false"/>
          <w:caps w:val="false"/>
          <w:smallCaps w:val="false"/>
          <w:sz w:val="20"/>
        </w:rPr>
        <w:t xml:space="preserve"> any Related Claims with Damages below the De Minimis Damages threshold shall be disregarded for all purposes under this Article VIII, including for purposes of calculating whether the aggregate threshold in clause (ii) below has been exceeded, and (ii) the Purchaser Indemnified Parties are entitled to indemnification pursuant to this Agreement for Damages for claims under Section 8.2(a)(i) in excess of $[***] in the aggregate (excluding any De Minimis Damages);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after such aggregate Damages exceed $[***], all such Damages (but excluding any De Minimis Damages), shall be recoverable by the Purchaser Indemnified Parties.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amount of any Damages for which indemnification is payable under this Article VIII shall be reduced by any insurance proceeds or other cash receipts or source of reimbursement that are actually received by the Indemnified Party or any of its Affiliates with respect to such Damages, less any related costs and expenses, including the aggregate cost of pursuing any related insurance claims and correspondent increases in insurance premiums.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No Indemnifying Party shall be under any obligation to indemnify a Damage which directly stems from a change made after the date hereof to any Legal Requirements or the accounting principles and methods used for the Company’ accounts unless such change should have been made prior to the date hereof in accordance with applicable Legal Requirements then in effect.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Each Indemnified Party shall use Commercially Reasonable Efforts to mitigate any Damages for which such Indemnified Party seeks indemnification under this Article VIII, including by using Commercially Reasonable Efforts to pursue and collect any available insurance proceeds, warranty claims, indemnification rights or other rights of recovery from third parties with respect to such Damages. The amount of any Damages for which indemnification is payable under this Article VIII shall be reduced by any amounts actually recovered by the Indemnified Party from any third party (net of any reasonable and documented out-of-pocket costs and expenses incurred in connection with such recovery).</w:t>
      </w:r>
    </w:p>
    <w:p>
      <w:pPr>
        <w:pStyle w:val="TextBody"/>
        <w:bidi w:val="0"/>
        <w:spacing w:before="0" w:after="0"/>
        <w:ind w:left="0" w:right="0" w:firstLine="1440"/>
        <w:jc w:val="both"/>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-46-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No Indemnifying Party shall be liable under this Article VIII for any Damages to the extent that such Damages arise out of, result from or is exacerbated or increased by any act, omission or decision of Purchaser, a Seller, the Company or any of their respective Affiliates occurring after the Closing.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Notwithstanding anything to the contrary in this Agreement, (i) no Indemnified Party shall be entitled to indemnification under this Article VIII to the extent that the Damages for which indemnification is sought have already been recovered by such Indemnified Party or any of its Affiliates pursuant to any other provision of this Agreement (including any adjustment to the Purchase Price pursuant to Section 1.4), any insurance policy, any third-party indemnification or contribution arrangement, or any other source of recovery, and (ii) the amount of any Damages for which indemnification is payable under this Article VIII shall be computed net of any Tax benefit actually received by the Indemnified Party in the year the Damages are incurred solely as a result of the facts, circumstances or matters giving rise to such Damages.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caps w:val="false"/>
          <w:smallCaps w:val="false"/>
          <w:sz w:val="20"/>
        </w:rPr>
        <w:t>Indemnification Payments and Caps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Any claim for Damages by the Purchaser Indemnified Parties for inaccuracy or breach of any representation or warranty made by the Manager or the Company pursuant to Article III shall be capped at USD [***]. </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Any claim for Damages by the Purchaser Indemnified Parties pursuant to this Article VIII other than those referred to in paragraph (i) above shall be satisfied by each concerned Seller individually, exclusively by offset of the Regulatory Milestone Payment (if any), the Commercial Milestone Payment (if any) which is due to such Seller. For the avoidance of doubt, each Seller may only be held liable for the breach of its own representations and own covenants.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Any claim for Damages by the Company Indemnified Parties pursuant to this Article VIII shall be satisfied, at Purchaser’s sole election, in Purchaser Common Stock or in cash or a combination of Purchaser Common Stock and cash; provided that the maximum aggregate amount of Damages for which the Purchaser shall be liable to indemnify the Company Indemnified Parties under this Agreement shall not exceed an amount equal to $[***]. </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8.4. </w:t>
      </w:r>
      <w:r>
        <w:rPr>
          <w:rFonts w:ascii="Times New Roman;Times;Serif" w:hAnsi="Times New Roman;Times;Serif"/>
          <w:b w:val="false"/>
          <w:i/>
          <w:caps w:val="false"/>
          <w:smallCaps w:val="false"/>
          <w:sz w:val="20"/>
        </w:rPr>
        <w:t>Warranty &amp; Indemnity Insurance</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Purchaser hereby confirms that it shall duly execute the W&amp;I Insurance Policy on or about the date hereof, and that the W&amp;I Insurance Policy shall be in full force and effect within seven (7) days from the date hereof.</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Parties acknowledge and agree that the W&amp;I Insurance Policy is in place to provide sole coverage and sole recourse to the Purchaser in relation to any inaccuracy or breach of any representation or warranty made by the Manager or the Company pursuant to Article III (a “</w:t>
      </w:r>
      <w:r>
        <w:rPr>
          <w:rFonts w:ascii="Times New Roman;Times;Serif" w:hAnsi="Times New Roman;Times;Serif"/>
          <w:b w:val="false"/>
          <w:i w:val="false"/>
          <w:caps w:val="false"/>
          <w:smallCaps w:val="false"/>
          <w:sz w:val="20"/>
          <w:u w:val="single"/>
        </w:rPr>
        <w:t>Breach</w:t>
      </w:r>
      <w:r>
        <w:rPr>
          <w:rFonts w:ascii="Times New Roman;Times;Serif" w:hAnsi="Times New Roman;Times;Serif"/>
          <w:b w:val="false"/>
          <w:i w:val="false"/>
          <w:caps w:val="false"/>
          <w:smallCaps w:val="false"/>
          <w:sz w:val="20"/>
        </w:rPr>
        <w:t>”), except in case of fraud (</w:t>
      </w:r>
      <w:r>
        <w:rPr>
          <w:rFonts w:ascii="Times New Roman;Times;Serif" w:hAnsi="Times New Roman;Times;Serif"/>
          <w:b w:val="false"/>
          <w:i/>
          <w:caps w:val="false"/>
          <w:smallCaps w:val="false"/>
          <w:sz w:val="20"/>
        </w:rPr>
        <w:t>fraude</w:t>
      </w:r>
      <w:r>
        <w:rPr>
          <w:rFonts w:ascii="Times New Roman;Times;Serif" w:hAnsi="Times New Roman;Times;Serif"/>
          <w:b w:val="false"/>
          <w:i w:val="false"/>
          <w:caps w:val="false"/>
          <w:smallCaps w:val="false"/>
          <w:sz w:val="20"/>
        </w:rPr>
        <w:t>) or willful misconduct (</w:t>
      </w:r>
      <w:r>
        <w:rPr>
          <w:rFonts w:ascii="Times New Roman;Times;Serif" w:hAnsi="Times New Roman;Times;Serif"/>
          <w:b w:val="false"/>
          <w:i/>
          <w:caps w:val="false"/>
          <w:smallCaps w:val="false"/>
          <w:sz w:val="20"/>
        </w:rPr>
        <w:t>dol</w:t>
      </w:r>
      <w:r>
        <w:rPr>
          <w:rFonts w:ascii="Times New Roman;Times;Serif" w:hAnsi="Times New Roman;Times;Serif"/>
          <w:b w:val="false"/>
          <w:i w:val="false"/>
          <w:caps w:val="false"/>
          <w:smallCaps w:val="false"/>
          <w:sz w:val="20"/>
        </w:rPr>
        <w:t>) of a given Seller or of the Company. The Parties acknowledge and agree that the Purchaser shall not be entitled to make any claim towards the Company or any Seller in connection with a Breach at any time and the Purchaser hereby waives any right it has or shall have in connection therewith, except in case of fraud (</w:t>
      </w:r>
      <w:r>
        <w:rPr>
          <w:rFonts w:ascii="Times New Roman;Times;Serif" w:hAnsi="Times New Roman;Times;Serif"/>
          <w:b w:val="false"/>
          <w:i/>
          <w:caps w:val="false"/>
          <w:smallCaps w:val="false"/>
          <w:sz w:val="20"/>
        </w:rPr>
        <w:t>fraude</w:t>
      </w:r>
      <w:r>
        <w:rPr>
          <w:rFonts w:ascii="Times New Roman;Times;Serif" w:hAnsi="Times New Roman;Times;Serif"/>
          <w:b w:val="false"/>
          <w:i w:val="false"/>
          <w:caps w:val="false"/>
          <w:smallCaps w:val="false"/>
          <w:sz w:val="20"/>
        </w:rPr>
        <w:t>) or willful misconduct (</w:t>
      </w:r>
      <w:r>
        <w:rPr>
          <w:rFonts w:ascii="Times New Roman;Times;Serif" w:hAnsi="Times New Roman;Times;Serif"/>
          <w:b w:val="false"/>
          <w:i/>
          <w:caps w:val="false"/>
          <w:smallCaps w:val="false"/>
          <w:sz w:val="20"/>
        </w:rPr>
        <w:t>dol</w:t>
      </w:r>
      <w:r>
        <w:rPr>
          <w:rFonts w:ascii="Times New Roman;Times;Serif" w:hAnsi="Times New Roman;Times;Serif"/>
          <w:b w:val="false"/>
          <w:i w:val="false"/>
          <w:caps w:val="false"/>
          <w:smallCaps w:val="false"/>
          <w:sz w:val="20"/>
        </w:rPr>
        <w:t>) of the Company or a Seller. For the avoidance of doubt, in case of fraud (</w:t>
      </w:r>
      <w:r>
        <w:rPr>
          <w:rFonts w:ascii="Times New Roman;Times;Serif" w:hAnsi="Times New Roman;Times;Serif"/>
          <w:b w:val="false"/>
          <w:i/>
          <w:caps w:val="false"/>
          <w:smallCaps w:val="false"/>
          <w:sz w:val="20"/>
        </w:rPr>
        <w:t>fraude</w:t>
      </w:r>
      <w:r>
        <w:rPr>
          <w:rFonts w:ascii="Times New Roman;Times;Serif" w:hAnsi="Times New Roman;Times;Serif"/>
          <w:b w:val="false"/>
          <w:i w:val="false"/>
          <w:caps w:val="false"/>
          <w:smallCaps w:val="false"/>
          <w:sz w:val="20"/>
        </w:rPr>
        <w:t>) or willful misconduct (</w:t>
      </w:r>
      <w:r>
        <w:rPr>
          <w:rFonts w:ascii="Times New Roman;Times;Serif" w:hAnsi="Times New Roman;Times;Serif"/>
          <w:b w:val="false"/>
          <w:i/>
          <w:caps w:val="false"/>
          <w:smallCaps w:val="false"/>
          <w:sz w:val="20"/>
        </w:rPr>
        <w:t>dol</w:t>
      </w:r>
      <w:r>
        <w:rPr>
          <w:rFonts w:ascii="Times New Roman;Times;Serif" w:hAnsi="Times New Roman;Times;Serif"/>
          <w:b w:val="false"/>
          <w:i w:val="false"/>
          <w:caps w:val="false"/>
          <w:smallCaps w:val="false"/>
          <w:sz w:val="20"/>
        </w:rPr>
        <w:t>) (i) of the Company, the Sellers shall not be held liable, (ii) of a Seller, the other Sellers may not be held liable pursuant to or in connection with the Agreement in any way.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Purchaser hereby acknowledges and agrees that: (i) in respect of a claim for a Breach, its sole recourse shall be against the W&amp;I Provider under the W&amp;I Insurance Policy, except in case of fraud (</w:t>
      </w:r>
      <w:r>
        <w:rPr>
          <w:rFonts w:ascii="Times New Roman;Times;Serif" w:hAnsi="Times New Roman;Times;Serif"/>
          <w:b w:val="false"/>
          <w:i/>
          <w:caps w:val="false"/>
          <w:smallCaps w:val="false"/>
          <w:sz w:val="20"/>
        </w:rPr>
        <w:t>fraude</w:t>
      </w:r>
      <w:r>
        <w:rPr>
          <w:rFonts w:ascii="Times New Roman;Times;Serif" w:hAnsi="Times New Roman;Times;Serif"/>
          <w:b w:val="false"/>
          <w:i w:val="false"/>
          <w:caps w:val="false"/>
          <w:smallCaps w:val="false"/>
          <w:sz w:val="20"/>
        </w:rPr>
        <w:t>) or willful misconduct (</w:t>
      </w:r>
      <w:r>
        <w:rPr>
          <w:rFonts w:ascii="Times New Roman;Times;Serif" w:hAnsi="Times New Roman;Times;Serif"/>
          <w:b w:val="false"/>
          <w:i/>
          <w:caps w:val="false"/>
          <w:smallCaps w:val="false"/>
          <w:sz w:val="20"/>
        </w:rPr>
        <w:t>dol</w:t>
      </w:r>
      <w:r>
        <w:rPr>
          <w:rFonts w:ascii="Times New Roman;Times;Serif" w:hAnsi="Times New Roman;Times;Serif"/>
          <w:b w:val="false"/>
          <w:i w:val="false"/>
          <w:caps w:val="false"/>
          <w:smallCaps w:val="false"/>
          <w:sz w:val="20"/>
        </w:rPr>
        <w:t>) of the Company; (ii) such claim shall be settled exclusively by the W&amp;I Provider under the W&amp;I Insurance Policy or remain for the account of the Purchaser, as the case may be, except in case of fraud (</w:t>
      </w:r>
      <w:r>
        <w:rPr>
          <w:rFonts w:ascii="Times New Roman;Times;Serif" w:hAnsi="Times New Roman;Times;Serif"/>
          <w:b w:val="false"/>
          <w:i/>
          <w:caps w:val="false"/>
          <w:smallCaps w:val="false"/>
          <w:sz w:val="20"/>
        </w:rPr>
        <w:t>fraude</w:t>
      </w:r>
      <w:r>
        <w:rPr>
          <w:rFonts w:ascii="Times New Roman;Times;Serif" w:hAnsi="Times New Roman;Times;Serif"/>
          <w:b w:val="false"/>
          <w:i w:val="false"/>
          <w:caps w:val="false"/>
          <w:smallCaps w:val="false"/>
          <w:sz w:val="20"/>
        </w:rPr>
        <w:t>) or willful misconduct (</w:t>
      </w:r>
      <w:r>
        <w:rPr>
          <w:rFonts w:ascii="Times New Roman;Times;Serif" w:hAnsi="Times New Roman;Times;Serif"/>
          <w:b w:val="false"/>
          <w:i/>
          <w:caps w:val="false"/>
          <w:smallCaps w:val="false"/>
          <w:sz w:val="20"/>
        </w:rPr>
        <w:t>dol</w:t>
      </w:r>
      <w:r>
        <w:rPr>
          <w:rFonts w:ascii="Times New Roman;Times;Serif" w:hAnsi="Times New Roman;Times;Serif"/>
          <w:b w:val="false"/>
          <w:i w:val="false"/>
          <w:caps w:val="false"/>
          <w:smallCaps w:val="false"/>
          <w:sz w:val="20"/>
        </w:rPr>
        <w:t>) of the Company. For the avoidance of doubt, the W&amp;I Provider shall only be entitled to exercise rights of subrogation against the Sellers and/or their affiliates if and to the extent the Loss (as defined in the W&amp;I Insurance Policy) arose in whole or in part out of the Sellers’ and/or their affiliates’ fraud or wilful misconduct (dol) (within the meaning of article 1137 of the French Civil Code and only against such Sellers and/or affiliates who committed the fraud or wilful misconduct (dol) for which the payment or the Loss arose in whole or part out of).</w:t>
      </w:r>
    </w:p>
    <w:p>
      <w:pPr>
        <w:pStyle w:val="TextBody"/>
        <w:bidi w:val="0"/>
        <w:spacing w:before="0" w:after="0"/>
        <w:ind w:left="0" w:right="0" w:firstLine="1440"/>
        <w:jc w:val="both"/>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-47-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Purchaser hereby agrees and acknowledges that: (i) any failure on the part of the Insured to comply with the terms of the W&amp;I Insurance Policy; or (ii) any changes and/or amendments to the W&amp;I Insurance Policy, the unavailability of the W&amp;I Provider and/or the W&amp;I Insurance Policy or recourse thereunder for whatever reason, shall in each case not create or increase the Sellers liability pursuant to or in connection with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8.5. </w:t>
      </w:r>
      <w:r>
        <w:rPr>
          <w:rFonts w:ascii="Times New Roman;Times;Serif" w:hAnsi="Times New Roman;Times;Serif"/>
          <w:b w:val="false"/>
          <w:i/>
          <w:caps w:val="false"/>
          <w:smallCaps w:val="false"/>
          <w:sz w:val="20"/>
        </w:rPr>
        <w:t>Exclusive Remedy</w:t>
      </w:r>
      <w:r>
        <w:rPr>
          <w:rFonts w:ascii="Times New Roman;Times;Serif" w:hAnsi="Times New Roman;Times;Serif"/>
          <w:b w:val="false"/>
          <w:i w:val="false"/>
          <w:caps w:val="false"/>
          <w:smallCaps w:val="false"/>
          <w:sz w:val="20"/>
        </w:rPr>
        <w:t>.</w:t>
      </w:r>
    </w:p>
    <w:p>
      <w:pPr>
        <w:pStyle w:val="TextBody"/>
        <w:bidi w:val="0"/>
        <w:spacing w:before="0" w:after="0"/>
        <w:ind w:left="180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Notwithstanding anything to the contrary contained herein, the Parties acknowledge and agree that indemnification pursuant to this Article VIII shall be the sole and exclusive remedy of the Purchaser Indemnified Parties, the Company Indemnified Parties and their respective Affiliates (other than non-monetary remedies for injunctive relief and remedies that a party may have as a matter of law or equity with respect to Fraud against any Indemnifying Party) for any and all Damages or any other liabilities sustained or incurred by the Parties or their Affiliates or their successors and assigns in connection with this Agreement, and the Parties each waive any other remedy, which they, or any other Person entitled to indemnification hereunder, may have hereunder, at law, in equity or otherwise with respect hereto (other than non-monetary remedies for injunctive relief and remedies that a party may have as a matter of law or equity with respect to Fraud against any Indemnifying Party). The Parties acknowledge and agree that neither Purchaser nor Sellers have made any representation or warranty other than those representations and warranties expressly stated in this Agreement or any certificate delivered pursuant this Agreement, and that Purchaser and Sellers have relied solely on the representations and warranties expressly made in this Agreement or any certificate delivered pursuant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No Company Indemnified Party shall be permitted to assert any indemnification claim or exercise any other remedy under this Agreement unless the Sellers Representatives shall have been notified of such indemnification claim or the exercise of such other remedy in accordance with the procedures set forth in this Article VIII.</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8.6. </w:t>
      </w:r>
      <w:r>
        <w:rPr>
          <w:rFonts w:ascii="Times New Roman;Times;Serif" w:hAnsi="Times New Roman;Times;Serif"/>
          <w:b w:val="false"/>
          <w:i/>
          <w:caps w:val="false"/>
          <w:smallCaps w:val="false"/>
          <w:sz w:val="20"/>
        </w:rPr>
        <w:t>Knowledge</w:t>
      </w:r>
      <w:r>
        <w:rPr>
          <w:rFonts w:ascii="Times New Roman;Times;Serif" w:hAnsi="Times New Roman;Times;Serif"/>
          <w:b w:val="false"/>
          <w:i w:val="false"/>
          <w:caps w:val="false"/>
          <w:smallCaps w:val="false"/>
          <w:sz w:val="20"/>
        </w:rPr>
        <w:t>. An Indemnified Party’s rights to indemnification pursuant to this Article VIII shall not be affected by any investigation conducted by on or behalf of such Indemnified Party (including any review of the Company Data Room) or any knowledge acquired or capable of being reasonably acquired by such Indemnified Party at any time, whether before or after the execution and delivery of this Agreement or before or after the Closing, with respect to the accuracy or inaccuracy of or compliance with any representation, warranty, covenant or obligation.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8.7. </w:t>
      </w:r>
      <w:r>
        <w:rPr>
          <w:rFonts w:ascii="Times New Roman;Times;Serif" w:hAnsi="Times New Roman;Times;Serif"/>
          <w:b w:val="false"/>
          <w:i/>
          <w:caps w:val="false"/>
          <w:smallCaps w:val="false"/>
          <w:sz w:val="20"/>
        </w:rPr>
        <w:t xml:space="preserve">Method of Asserting and Resolving Claims. </w:t>
      </w:r>
      <w:r>
        <w:rPr>
          <w:rFonts w:ascii="Times New Roman;Times;Serif" w:hAnsi="Times New Roman;Times;Serif"/>
          <w:b w:val="false"/>
          <w:i w:val="false"/>
          <w:caps w:val="false"/>
          <w:smallCaps w:val="false"/>
          <w:sz w:val="20"/>
        </w:rPr>
        <w:t>All claims for indemnification under this Article VIII shall be asserted and resolved as follows: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 claim for Damages under Section 8.2(a)(i), Section 8.2(a)(ii), or Section 8.2(b)(i) may be made, and no Claim Notice with respect to any such claim under Section 8.2(a)(i), Section 8.2(a)(ii) or Section 8.2(b)(i) may be delivered, after the Claims Cut-Off Date (it being understood that any claim underlying a Claim Notice duly delivered on or prior to the Claims Cut-Off Date shall be resolved in accordance with this Section 8.7, notwithstanding that such resolution may not be reached until after such applicable date); provided, however, that claims for Fraud or willful breach may be brought at any time without limitation.</w:t>
      </w:r>
    </w:p>
    <w:p>
      <w:pPr>
        <w:pStyle w:val="TextBody"/>
        <w:bidi w:val="0"/>
        <w:spacing w:before="0" w:after="0"/>
        <w:ind w:left="0" w:right="0" w:firstLine="1440"/>
        <w:jc w:val="both"/>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-48-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Subject to Section 6.5(b) in respect of Tax Claims, in the event that any claim or demand for which an indemnifying party (an “</w:t>
      </w:r>
      <w:r>
        <w:rPr>
          <w:rFonts w:ascii="Times New Roman;Times;Serif" w:hAnsi="Times New Roman;Times;Serif"/>
          <w:b w:val="false"/>
          <w:i w:val="false"/>
          <w:caps w:val="false"/>
          <w:smallCaps w:val="false"/>
          <w:sz w:val="20"/>
          <w:u w:val="single"/>
        </w:rPr>
        <w:t>Indemnifying Party</w:t>
      </w:r>
      <w:r>
        <w:rPr>
          <w:rFonts w:ascii="Times New Roman;Times;Serif" w:hAnsi="Times New Roman;Times;Serif"/>
          <w:b w:val="false"/>
          <w:i w:val="false"/>
          <w:caps w:val="false"/>
          <w:smallCaps w:val="false"/>
          <w:sz w:val="20"/>
        </w:rPr>
        <w:t>”) would be liable to an indemnified party (an “</w:t>
      </w:r>
      <w:r>
        <w:rPr>
          <w:rFonts w:ascii="Times New Roman;Times;Serif" w:hAnsi="Times New Roman;Times;Serif"/>
          <w:b w:val="false"/>
          <w:i w:val="false"/>
          <w:caps w:val="false"/>
          <w:smallCaps w:val="false"/>
          <w:sz w:val="20"/>
          <w:u w:val="single"/>
        </w:rPr>
        <w:t>Indemnified Party</w:t>
      </w:r>
      <w:r>
        <w:rPr>
          <w:rFonts w:ascii="Times New Roman;Times;Serif" w:hAnsi="Times New Roman;Times;Serif"/>
          <w:b w:val="false"/>
          <w:i w:val="false"/>
          <w:caps w:val="false"/>
          <w:smallCaps w:val="false"/>
          <w:sz w:val="20"/>
        </w:rPr>
        <w:t>”) hereunder is asserted against or sought to be collected by a third party: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Purchaser (where the Indemnified Parties are Purchaser Indemnified Parties) or the Sellers Representatives (where the Indemnified Parties are Company Indemnified Parties) (as applicable, the “</w:t>
      </w:r>
      <w:r>
        <w:rPr>
          <w:rFonts w:ascii="Times New Roman;Times;Serif" w:hAnsi="Times New Roman;Times;Serif"/>
          <w:b w:val="false"/>
          <w:i w:val="false"/>
          <w:caps w:val="false"/>
          <w:smallCaps w:val="false"/>
          <w:sz w:val="20"/>
          <w:u w:val="single"/>
        </w:rPr>
        <w:t>Indemnified Party Representative</w:t>
      </w:r>
      <w:r>
        <w:rPr>
          <w:rFonts w:ascii="Times New Roman;Times;Serif" w:hAnsi="Times New Roman;Times;Serif"/>
          <w:b w:val="false"/>
          <w:i w:val="false"/>
          <w:caps w:val="false"/>
          <w:smallCaps w:val="false"/>
          <w:sz w:val="20"/>
        </w:rPr>
        <w:t>”), shall promptly provide a Claim Notice to the Sellers Representatives (where the Sellers are the Indemnifying Parties) or Purchaser (where Purchaser is the Indemnifying Party) (as applicable, the “</w:t>
      </w:r>
      <w:r>
        <w:rPr>
          <w:rFonts w:ascii="Times New Roman;Times;Serif" w:hAnsi="Times New Roman;Times;Serif"/>
          <w:b w:val="false"/>
          <w:i w:val="false"/>
          <w:caps w:val="false"/>
          <w:smallCaps w:val="false"/>
          <w:sz w:val="20"/>
          <w:u w:val="single"/>
        </w:rPr>
        <w:t>Indemnifying Party Representative</w:t>
      </w:r>
      <w:r>
        <w:rPr>
          <w:rFonts w:ascii="Times New Roman;Times;Serif" w:hAnsi="Times New Roman;Times;Serif"/>
          <w:b w:val="false"/>
          <w:i w:val="false"/>
          <w:caps w:val="false"/>
          <w:smallCaps w:val="false"/>
          <w:sz w:val="20"/>
        </w:rPr>
        <w:t xml:space="preserve">”), specifying the nature of the claim or demand and the amount or the estimated amount thereof to the extent then feasible (which estimate shall not be conclusive of the final amount of such claim or demand);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the failure of an Indemnified Party to give notice as provided herein shall not relieve an Indemnifying Party of its obligations under this Article VIII, except to the extent (and only to the extent) the Indemnifying Party is actually and materially prejudiced thereby;</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Indemnifying Party Representative shall have thirty (30) calendar days from receipt of the Claim Notice (the “</w:t>
      </w:r>
      <w:r>
        <w:rPr>
          <w:rFonts w:ascii="Times New Roman;Times;Serif" w:hAnsi="Times New Roman;Times;Serif"/>
          <w:b w:val="false"/>
          <w:i w:val="false"/>
          <w:caps w:val="false"/>
          <w:smallCaps w:val="false"/>
          <w:sz w:val="20"/>
          <w:u w:val="single"/>
        </w:rPr>
        <w:t>Notice Period</w:t>
      </w:r>
      <w:r>
        <w:rPr>
          <w:rFonts w:ascii="Times New Roman;Times;Serif" w:hAnsi="Times New Roman;Times;Serif"/>
          <w:b w:val="false"/>
          <w:i w:val="false"/>
          <w:caps w:val="false"/>
          <w:smallCaps w:val="false"/>
          <w:sz w:val="20"/>
        </w:rPr>
        <w:t>”) to provide written notice to the Indemnified Party whether or not the Indemnifying Party disputes its liability to the Indemnified Party hereunder with respect to such claim or demand;</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promptly after receipt of the Claim Notice relating to a Proceeding by a third party (a “</w:t>
      </w:r>
      <w:r>
        <w:rPr>
          <w:rFonts w:ascii="Times New Roman;Times;Serif" w:hAnsi="Times New Roman;Times;Serif"/>
          <w:b w:val="false"/>
          <w:i w:val="false"/>
          <w:caps w:val="false"/>
          <w:smallCaps w:val="false"/>
          <w:sz w:val="20"/>
          <w:u w:val="single"/>
        </w:rPr>
        <w:t>Third Party Action</w:t>
      </w:r>
      <w:r>
        <w:rPr>
          <w:rFonts w:ascii="Times New Roman;Times;Serif" w:hAnsi="Times New Roman;Times;Serif"/>
          <w:b w:val="false"/>
          <w:i w:val="false"/>
          <w:caps w:val="false"/>
          <w:smallCaps w:val="false"/>
          <w:sz w:val="20"/>
        </w:rPr>
        <w:t>”), but in no event later than the final day of the Notice Period, the Indemnifying Party Representative may elect to defend such Third Party Action at the Indemnifying Party’s own cost and expense by delivering written notice of such election to the Indemnified Party Representative (the “</w:t>
      </w:r>
      <w:r>
        <w:rPr>
          <w:rFonts w:ascii="Times New Roman;Times;Serif" w:hAnsi="Times New Roman;Times;Serif"/>
          <w:b w:val="false"/>
          <w:i w:val="false"/>
          <w:caps w:val="false"/>
          <w:smallCaps w:val="false"/>
          <w:sz w:val="20"/>
          <w:u w:val="single"/>
        </w:rPr>
        <w:t>Defense Notice</w:t>
      </w:r>
      <w:r>
        <w:rPr>
          <w:rFonts w:ascii="Times New Roman;Times;Serif" w:hAnsi="Times New Roman;Times;Serif"/>
          <w:b w:val="false"/>
          <w:i w:val="false"/>
          <w:caps w:val="false"/>
          <w:smallCaps w:val="false"/>
          <w:sz w:val="20"/>
        </w:rPr>
        <w:t xml:space="preserve">”). If the Indemnifying Party Representative properly and timely delivers a Defense Notice, counsel for the defense shall be selected by the Indemnifying Party Representative (subject to the consent of the Indemnified Party Representative, which consent shall not be unreasonably withheld, conditioned or delayed) and the Indemnifying Party Representative shall be entitled to assume such defense;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from and after the delivery of a Claim Notice by the Indemnified Party Representative and until such time as the Indemnifying Party Representative delivers a Defense Notice, the Indemnified Party Representative may take such actions related to the defense of such Third Party Action as it may determine in good faith are reasonably necessary and appropriate to defend such claim, and any such action shall be at the Indemnifying Party’s expense to the extent such expenses constitute Damages. If the Indemnifying Party Representative assumes the defense of a Third Party Action, such Indemnifying Party Representative shall (A) promptly reimburse the Indemnified Party Representative for all reasonable and documented out-of-pocket expenses incurred in its defense of such Third Party Action prior to such assumption of the defense by the Indemnifying Party, (B) keep the Indemnified Party reasonably informed of all material developments on a timely basis and (C) diligently conduct the defense of such claim. If in the good faith determination of the Indemnified Party the Indemnifying Party Representative fails to keep the Indemnified Party reasonably informed of all material developments on a timely basis or to diligently conduct the defense of such claim, the Indemnified Party Representative shall provide written notice thereof to the Indemnifying Party Representative. If the Indemnifying Party does not cure such failure to the reasonable satisfaction of the Indemnified Party within ten (10) days from the receipt by the Indemnifying Party Representative of such written notice, then the Indemnified Party shall be entitled to assume the defense of such claim and the Indemnifying Party shall reimburse the Indemnified Party for all reasonable costs and expenses of such defense. Notwithstanding the foregoing, the Indemnifying Party Representative shall not have the right to assume the defense of any Third Party Action if (w) the Indemnified Party shall in good faith determine that the Indemnified Party has one or more legal or equitable defenses available to it which are different from or in addition to those available to the Indemnifying Party, and, in the reasonable opinion of the Indemnified Party Representative, counsel for the Indemnifying Party could not adequately represent the interests of the Indemnified Party because such interests could be in conflict with those of the Indemnifying Party, (x) such Third Party Action seeks equitable relief, criminal liability, or monetary damages in excess of the applicable indemnification cap, (y) the Indemnified Party shall in good faith determine that such Third Party Action is reasonably likely to establish a precedential custom or practice that is reasonably likely to be materially adverse to the continuing business interests of an Indemnified Party or is materially adverse to significant current business relationships of an Indemnified Party, or (z) the Indemnifying Party Representative shall not have assumed the defense of the Third Party Action within the Notice Period, provided that, in any such case, (1) the Indemnifying Party Representative shall be entitled to participate in such Third Party Action at the Indemnifying Party’s expense, (2) the Indemnified Party Representative shall keep the Indemnifying Party Representative reasonably informed of all material developments on a timely basis and shall diligently conduct the defense of such claim, and (3) the Indemnified Party Representative shall not settle such Third Party Action unless the settlement shall include as an unconditional term thereof the giving by the claimant or the plaintiff of a full and unconditional release of the Indemnifying Party from all liability with respect to the matters that are subject to such Third Party Action, or otherwise shall have been approved by the Indemnifying Party Representative (such approval not to be unreasonably withheld, conditioned or delayed). If the Indemnifying Party Representative shall assume the defense of any Third Party Action, the Indemnified Party Representative shall be entitled to participate in any Third Party Action at the expense of the Indemnified Party, and the Indemnifying Party Representative shall not settle such Third Party Action unless the settlement shall include as an unconditional term thereof the giving by the claimant or the plaintiff of a full and unconditional release of the Indemnified Party, from all liability with respect to the matters that are subject to such Third Party Action, or otherwise shall have been approved reasonably by the Indemnified Party Representative;</w:t>
      </w:r>
    </w:p>
    <w:p>
      <w:pPr>
        <w:pStyle w:val="TextBody"/>
        <w:bidi w:val="0"/>
        <w:spacing w:before="0" w:after="0"/>
        <w:ind w:left="0" w:right="0" w:firstLine="2160"/>
        <w:jc w:val="both"/>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-49-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(iv) notwithstanding anything to the contrary contained in Section 8.7(b), Purchaser may elect to defend any Third Party Action by delivering a Defense Notice to the Sellers Representatives (and in such event the Indemnifying Party Representative shall not have the right to elect to defend such claim) if the applicable Third Party Action (A) is made by a current or former stockholder of the Purchaser, or (B) alleges the misappropriation, infringement or other violation of the intellectual property or proprietary rights of such third party;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in the event Purchaser assumes such a defense, Purchaser shall (x) keep the Sellers Representatives reasonably informed of all material developments on a timely basis and shall diligently conduct the defense of such claim and (y) not settle the applicable Proceedings unless (in the case where the Sellers are the Indemnifying Party) the settlement shall include as an unconditional term thereof the giving by the claimant or the plaintiff of a full and unconditional release of the Indemnified Party from all liability with respect to the matters that are subject to such Proceeding, or otherwise shall have been approved reasonably by the Indemnified Party Representative;</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any Damages incurred or paid by an Indemnified Party in the course of defending or settling any Third Party Action shall be deemed Damages incurred or paid by (A) the Purchaser Indemnified Parties if the claim or demand underlying such Damages is indemnifiable pursuant to Section 8.2(a) or(B) the Company Indemnified Parties if the claim or demand underlying such Damages is indemnifiable pursuant to Section 8.2(b); and</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notwithstanding anything to the contrary contained herein, if the Indemnifying Party Representative acknowledges in writing that it does not dispute liability hereunder with respect to such claim or demand and that the amount of such settlement and the reasonable costs thereof shall be included as part of the Indemnified Party’s Damages with respect to such claim or demand, then neither the Indemnified Party nor the Indemnified Party Representative shall settle such claim or demand without the prior written consent of the Indemnifying Party Representative, such consent not to be unreasonably withheld, conditioned or delayed; provided that if the Indemnifying Party Representative fails to respond within ten (10) Business Days of receiving a settlement proposal, such consent shall be deemed given.</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In the event that an Indemnified Party seeks to make a claim against an Indemnifying Party hereunder which does not involve a Third Party Action, the Indemnified Party Representative shall promptly send a Claim Notice with respect to such claim to the Indemnifying Party Representative. If the Indemnifying Party Representative does not notify the Indemnified Party Representative within the Notice Period that it disputes such claim, the amount of such claim shall be conclusively deemed Damages and an indemnifiable obligation of the Indemnifying Party hereunder and the Indemnifying Party shall pay the amount of such claim to the Indemnified Party promptly after demand therefor or, in the case of any Claim Notice in which the amount of the claim (or any portion thereof) is estimated, on such later date on which such amount (or such portion) is finally determined.</w:t>
      </w:r>
    </w:p>
    <w:p>
      <w:pPr>
        <w:pStyle w:val="TextBody"/>
        <w:bidi w:val="0"/>
        <w:spacing w:before="0" w:after="0"/>
        <w:ind w:left="0" w:right="0" w:firstLine="1440"/>
        <w:jc w:val="both"/>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-50-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If any Claim Notice is disputed by the Indemnifying Party Representative in accordance with Section 8.7(b) or Section 8.7(c) or if any other dispute should arise with respect to the Parties’ respective rights and obligations under this Article VIII, the Indemnifying Party Representative and the Indemnified Party Representative shall attempt to resolve such dispute in good faith for a period of thirty (30) days. Purchaser shall afford the Sellers Representatives, and each of their accountants, counsel and other representatives, reasonable access to (i) all of Purchaser’s properties, books, Contracts, commitments and records reasonably related to such Claim Notice, (ii) other information concerning the business, properties and personnel (subject to restrictions imposed by applicable law) of Purchaser as the Sellers Representatives may reasonably request and (iii) all personnel of Purchaser with knowledge of or information reasonably related to such Claim Notice, in each case solely for the purpose of resolving any such dispute and conducting investigations and negotiations related thereto. If such dispute is not resolved through such negotiations, such dispute will be resolved by litigation in an appropriate court of competent jurisdiction in accordance with Section 10.10.</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8.8. </w:t>
      </w:r>
      <w:r>
        <w:rPr>
          <w:rFonts w:ascii="Times New Roman;Times;Serif" w:hAnsi="Times New Roman;Times;Serif"/>
          <w:b w:val="false"/>
          <w:i/>
          <w:caps w:val="false"/>
          <w:smallCaps w:val="false"/>
          <w:sz w:val="20"/>
        </w:rPr>
        <w:t>Specific Risks Indemnification</w:t>
      </w:r>
      <w:r>
        <w:rPr>
          <w:rFonts w:ascii="Times New Roman;Times;Serif" w:hAnsi="Times New Roman;Times;Serif"/>
          <w:b w:val="false"/>
          <w:i w:val="false"/>
          <w:caps w:val="false"/>
          <w:smallCaps w:val="false"/>
          <w:sz w:val="20"/>
        </w:rPr>
        <w:t>. From and after the Closing, Purchaser shall be indemnified on a euro-for-euro basis in respect of any and all Damages arising out of or in connection with the Specific Risks as determined in accordance with Section 8.3 c) to g) (the “</w:t>
      </w:r>
      <w:r>
        <w:rPr>
          <w:rFonts w:ascii="Times New Roman;Times;Serif" w:hAnsi="Times New Roman;Times;Serif"/>
          <w:b w:val="false"/>
          <w:i w:val="false"/>
          <w:caps w:val="false"/>
          <w:smallCaps w:val="false"/>
          <w:sz w:val="20"/>
          <w:u w:val="single"/>
        </w:rPr>
        <w:t>Specific Risk Damages</w:t>
      </w:r>
      <w:r>
        <w:rPr>
          <w:rFonts w:ascii="Times New Roman;Times;Serif" w:hAnsi="Times New Roman;Times;Serif"/>
          <w:b w:val="false"/>
          <w:i w:val="false"/>
          <w:caps w:val="false"/>
          <w:smallCaps w:val="false"/>
          <w:sz w:val="20"/>
        </w:rPr>
        <w:t>”), subject to and in accordance with the following terms: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Deduction at Closing. The Upfront Consideration payable at Closing shall be reduced by an amount equal to the Specific Risk Deduction, which shall be retained by Purchaser as security pending the final determination of the Specific Risk Damages in accordance with this Section.</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Determination of Specific Risk Damages. The amount of the Specific Risk Damages shall be determined in accordance with the procedures set forth in Section 8.6(b) (Method of Asserting and Resolving Claims) as if the Specific Risk constituted a Third Party Action, mutatis mutandis. For the avoidance of doubt, the Indemnified Party Representative shall promptly deliver a Claim Notice to the Indemnifying Party Representative upon becoming aware of any claim, demand or proceeding relating to the Specific Risk, and the provisions of Section 8.7(b) (including, without limitation, the rights of the Indemnifying Party Representative to assume the defense of such claim and the obligations of the Parties to cooperate in good faith) shall apply to the determination and resolution of the Specific Risk Damages.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Adjustment Following Final Determination. Once the aggregate amount of the Specific Risk Damages has been finally determined (whether by settlement, final and non-appealable judgment, or mutual agreement of the Parties) (the “</w:t>
      </w:r>
      <w:r>
        <w:rPr>
          <w:rFonts w:ascii="Times New Roman;Times;Serif" w:hAnsi="Times New Roman;Times;Serif"/>
          <w:b w:val="false"/>
          <w:i w:val="false"/>
          <w:caps w:val="false"/>
          <w:smallCaps w:val="false"/>
          <w:sz w:val="20"/>
          <w:u w:val="single"/>
        </w:rPr>
        <w:t>Final Specific Risk Amount</w:t>
      </w:r>
      <w:r>
        <w:rPr>
          <w:rFonts w:ascii="Times New Roman;Times;Serif" w:hAnsi="Times New Roman;Times;Serif"/>
          <w:b w:val="false"/>
          <w:i w:val="false"/>
          <w:caps w:val="false"/>
          <w:smallCaps w:val="false"/>
          <w:sz w:val="20"/>
        </w:rPr>
        <w:t>”), the following adjustment shall apply:</w:t>
      </w:r>
    </w:p>
    <w:p>
      <w:pPr>
        <w:pStyle w:val="TextBody"/>
        <w:bidi w:val="0"/>
        <w:spacing w:before="0" w:after="0"/>
        <w:ind w:left="0" w:right="0" w:firstLine="21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33"/>
        <w:gridCol w:w="9897"/>
      </w:tblGrid>
      <w:tr>
        <w:trPr/>
        <w:tc>
          <w:tcPr>
            <w:tcW w:w="75"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233" w:type="dxa"/>
            <w:tcBorders/>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897" w:type="dxa"/>
            <w:tcBorders/>
            <w:vAlign w:val="center"/>
          </w:tcPr>
          <w:p>
            <w:pPr>
              <w:pStyle w:val="TableContents"/>
              <w:bidi w:val="0"/>
              <w:spacing w:before="0" w:after="283"/>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Final Specific Risk Amount exceeds the Specific Risk Deduction, Purchaser shall have the right to offset the amount of such excess from any Earnout Consideration then or thereafter payable to the Sellers, pro rata in accordance with each Seller’s respective entitlement to such Earnout Consideration; or</w:t>
            </w:r>
          </w:p>
        </w:tc>
      </w:tr>
      <w:tr>
        <w:trPr/>
        <w:tc>
          <w:tcPr>
            <w:tcW w:w="75"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233"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9897" w:type="dxa"/>
            <w:tcBorders/>
            <w:vAlign w:val="center"/>
          </w:tcPr>
          <w:p>
            <w:pPr>
              <w:pStyle w:val="TableContents"/>
              <w:bidi w:val="0"/>
              <w:spacing w:before="0" w:after="283"/>
              <w:ind w:left="0" w:right="0" w:hanging="0"/>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233" w:type="dxa"/>
            <w:tcBorders/>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897" w:type="dxa"/>
            <w:tcBorders/>
            <w:vAlign w:val="center"/>
          </w:tcPr>
          <w:p>
            <w:pPr>
              <w:pStyle w:val="TableContents"/>
              <w:bidi w:val="0"/>
              <w:spacing w:before="0" w:after="283"/>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Final Specific Risk Amount is equal to the Specific Risk Deduction, then no adjustment shall be made; or</w:t>
            </w:r>
          </w:p>
        </w:tc>
      </w:tr>
      <w:tr>
        <w:trPr/>
        <w:tc>
          <w:tcPr>
            <w:tcW w:w="75"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233"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9897" w:type="dxa"/>
            <w:tcBorders/>
            <w:vAlign w:val="center"/>
          </w:tcPr>
          <w:p>
            <w:pPr>
              <w:pStyle w:val="TableContents"/>
              <w:bidi w:val="0"/>
              <w:spacing w:before="0" w:after="283"/>
              <w:ind w:left="0" w:right="0" w:hanging="0"/>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233" w:type="dxa"/>
            <w:tcBorders/>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897" w:type="dxa"/>
            <w:tcBorders/>
            <w:vAlign w:val="center"/>
          </w:tcPr>
          <w:p>
            <w:pPr>
              <w:pStyle w:val="TableContents"/>
              <w:bidi w:val="0"/>
              <w:spacing w:before="0" w:after="283"/>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Final Specific Risk Amount is less than the Specific Risk Deduction, Purchaser shall add an amount equal to the difference between the Specific Risk Deduction and the Final Specific Risk Amount to the next Earnout Consideration payment payable to the Sellers, pro rata in accordance with each Seller’s respective entitlement to such Earnout Consideration.</w:t>
            </w:r>
          </w:p>
        </w:tc>
      </w:tr>
      <w:tr>
        <w:trPr/>
        <w:tc>
          <w:tcPr>
            <w:tcW w:w="75"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233"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9897" w:type="dxa"/>
            <w:tcBorders/>
            <w:vAlign w:val="center"/>
          </w:tcPr>
          <w:p>
            <w:pPr>
              <w:pStyle w:val="TableContents"/>
              <w:bidi w:val="0"/>
              <w:spacing w:before="0" w:after="283"/>
              <w:ind w:left="0" w:right="0" w:hanging="0"/>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233" w:type="dxa"/>
            <w:tcBorders/>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8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that no further Earnout Consideration payment remains payable, the Parties acknowledge and agree that no adjustment shall be made.</w:t>
            </w:r>
          </w:p>
        </w:tc>
      </w:tr>
    </w:tbl>
    <w:p>
      <w:pPr>
        <w:pStyle w:val="TextBody"/>
        <w:bidi w:val="0"/>
        <w:spacing w:before="0" w:after="0"/>
        <w:ind w:left="3250" w:right="0" w:hanging="370"/>
        <w:jc w:val="both"/>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-51-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8.9. </w:t>
      </w:r>
      <w:r>
        <w:rPr>
          <w:rFonts w:ascii="Times New Roman;Times;Serif" w:hAnsi="Times New Roman;Times;Serif"/>
          <w:b w:val="false"/>
          <w:i/>
          <w:caps w:val="false"/>
          <w:smallCaps w:val="false"/>
          <w:sz w:val="20"/>
        </w:rPr>
        <w:t>Sellers Representatives</w:t>
      </w:r>
      <w:r>
        <w:rPr>
          <w:rFonts w:ascii="Times New Roman;Times;Serif" w:hAnsi="Times New Roman;Times;Serif"/>
          <w:b w:val="false"/>
          <w:i w:val="false"/>
          <w:caps w:val="false"/>
          <w:smallCaps w:val="false"/>
          <w:sz w:val="20"/>
        </w:rPr>
        <w:t>. Each Seller hereby consents and agrees to the appointment of the Sellers Representatives in accordance with the following terms: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The Sellers hereby irrevocably constitute and appoint Philippe Bencteux and Supernova Invest, a French </w:t>
      </w:r>
      <w:r>
        <w:rPr>
          <w:rFonts w:ascii="Times New Roman;Times;Serif" w:hAnsi="Times New Roman;Times;Serif"/>
          <w:b w:val="false"/>
          <w:i/>
          <w:caps w:val="false"/>
          <w:smallCaps w:val="false"/>
          <w:sz w:val="20"/>
        </w:rPr>
        <w:t>société par actions simplifiée</w:t>
      </w:r>
      <w:r>
        <w:rPr>
          <w:rFonts w:ascii="Times New Roman;Times;Serif" w:hAnsi="Times New Roman;Times;Serif"/>
          <w:b w:val="false"/>
          <w:i w:val="false"/>
          <w:caps w:val="false"/>
          <w:smallCaps w:val="false"/>
          <w:sz w:val="20"/>
        </w:rPr>
        <w:t xml:space="preserve"> having its registered office at 97, rue Saint-Lazare, 75009 Paris, whose unique identification number 828 628 586 RCS Paris, represented by Pierre-Emmanuel Struyven to have all of the rights and powers set forth in this Section 8.9, as the Sellers’ sole, exclusive, true and lawful agents, representatives and attorneys-in-fact (together, the “</w:t>
      </w:r>
      <w:r>
        <w:rPr>
          <w:rFonts w:ascii="Times New Roman;Times;Serif" w:hAnsi="Times New Roman;Times;Serif"/>
          <w:b w:val="false"/>
          <w:i w:val="false"/>
          <w:caps w:val="false"/>
          <w:smallCaps w:val="false"/>
          <w:sz w:val="20"/>
          <w:u w:val="single"/>
        </w:rPr>
        <w:t>Sellers Representatives”, and each, a “Sellers Representative</w:t>
      </w:r>
      <w:r>
        <w:rPr>
          <w:rFonts w:ascii="Times New Roman;Times;Serif" w:hAnsi="Times New Roman;Times;Serif"/>
          <w:b w:val="false"/>
          <w:i w:val="false"/>
          <w:caps w:val="false"/>
          <w:smallCaps w:val="false"/>
          <w:sz w:val="20"/>
        </w:rPr>
        <w:t>”), with respect to all actions called for by this Agreement to be taken by the Sellers Representatives, on their individual and collective behalf, and hereby further authorize the Sellers Representatives (i) to take any and all actions necessary to consummate the Transactions, or the defense and/or settlement of any claims for which the Sellers may be required to indemnify the Purchaser Indemnified Parties pursuant to Article VIII, (ii) to give and receive any and all notices required to be given under this Agreement and (iii) to take any and all additional actions as is contemplated to be taken by or on behalf of the Sellers by the terms of this Agreement. The Sellers Representatives shall act jointly and not severally, but any action, decision, consent, waiver or instruction of the Sellers Representatives shall require the prior written consent of both Sellers Representatives; provided that in the event of a disagreement between the Sellers Representatives, the decision shall be referred to the Requisite Sellers. Each Seller hereby agrees to receive correspondence from the Sellers Representatives, including in electronic form.</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All decisions and actions by the Sellers Representatives, including, without limitation, any agreement between the Sellers Representatives and Purchaser or the Purchaser Indemnified Parties relating to the defense or settlement of any claims for which the Sellers may be required to indemnify Purchaser or the Purchaser Indemnified Parties pursuant to Article VIII of this Agreement, shall be binding upon all of the Sellers, and no Seller shall have the right to object, dissent, protest or otherwise contest the same.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No Sellers Representative shall have any liability to any of the parties hereto or to the Sellers for any act done or omitted hereunder as Sellers Representative while acting in good faith, and any act done or omitted with the written consent of the Sellers holding of at least 50% of their remaining rights to received Purchase Consideration at a certain date, implementing the liquidation preference of the Bylaws of the Company immediately prior to the Closing Date of the outstanding voting power of the Shares as in effect after completion of the Equity Pre-Closing Transactions (the “</w:t>
      </w:r>
      <w:r>
        <w:rPr>
          <w:rFonts w:ascii="Times New Roman;Times;Serif" w:hAnsi="Times New Roman;Times;Serif"/>
          <w:b w:val="false"/>
          <w:i w:val="false"/>
          <w:caps w:val="false"/>
          <w:smallCaps w:val="false"/>
          <w:sz w:val="20"/>
          <w:u w:val="single"/>
        </w:rPr>
        <w:t>Requisite Sellers</w:t>
      </w:r>
      <w:r>
        <w:rPr>
          <w:rFonts w:ascii="Times New Roman;Times;Serif" w:hAnsi="Times New Roman;Times;Serif"/>
          <w:b w:val="false"/>
          <w:i w:val="false"/>
          <w:caps w:val="false"/>
          <w:smallCaps w:val="false"/>
          <w:sz w:val="20"/>
        </w:rPr>
        <w:t>”) shall be conclusive evidence of such good faith. The Sellers Representatives shall not have any fiduciary, agency or similar duties to the Sellers and their only obligations shall be as expressly set forth in this Agreement. The Sellers Representatives are serving in that capacity solely for purposes of administrative convenience, and are not personally liable for any of the obligations of the Sellers hereunder, and the Purchaser Indemnified Parties, Purchaser, Company and the Sellers agree that they will not look to the underlying assets of either Sellers Representatives for the satisfaction of any obligations of Company or the Sellers (or any of them). The Sellers shall, severally but not jointly, indemnify and hold harmless each Sellers Representative with respect to any losses, liabilities, damages, claims, penalties, fines, forfeitures, actions, fees, costs or expenses (including the fees and expenses of counsel and experts and their staffs and all expense of document location, duplication and shipment) (collectively, “</w:t>
      </w:r>
      <w:r>
        <w:rPr>
          <w:rFonts w:ascii="Times New Roman;Times;Serif" w:hAnsi="Times New Roman;Times;Serif"/>
          <w:b w:val="false"/>
          <w:i w:val="false"/>
          <w:caps w:val="false"/>
          <w:smallCaps w:val="false"/>
          <w:sz w:val="20"/>
          <w:u w:val="single"/>
        </w:rPr>
        <w:t>Representative Losses</w:t>
      </w:r>
      <w:r>
        <w:rPr>
          <w:rFonts w:ascii="Times New Roman;Times;Serif" w:hAnsi="Times New Roman;Times;Serif"/>
          <w:b w:val="false"/>
          <w:i w:val="false"/>
          <w:caps w:val="false"/>
          <w:smallCaps w:val="false"/>
          <w:sz w:val="20"/>
        </w:rPr>
        <w:t>”) incurred on the part of such Sellers Representative and arising out of or in connection with the acceptance or administration of its duties hereunder, including any out-of-pocket costs and expenses and legal fees and other legal costs incurred by such Sellers Representative, in each case as such Representative Loss is suffered or incurred; provided, that in the event that any such Representative Loss is finally adjudicated to have been directly caused by the gross negligence or willful misconduct of such Sellers Representative, such Sellers Representative will reimburse the Sellers the amount of such indemnified Representative Loss to the extent attributable to such gross negligence or willful misconduct. The Sellers acknowledge and agree that the foregoing indemnities will survive the resignation or removal of either Sellers Representative or the termination of this Agreement. Each Sellers Representative shall be entitled to retain its own counsel and other professional advisers in connection with the acceptance, performance or administration of the Sellers Representatives’ duties hereunder or the exercise of any of the Sellers Representatives’ rights hereunder.</w:t>
      </w:r>
    </w:p>
    <w:p>
      <w:pPr>
        <w:pStyle w:val="TextBody"/>
        <w:bidi w:val="0"/>
        <w:spacing w:before="0" w:after="0"/>
        <w:ind w:left="0" w:right="0" w:firstLine="1440"/>
        <w:jc w:val="both"/>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-52-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Sellers Representatives shall have full power and authority on behalf of each Seller to take any and all actions on behalf of, execute any and all certificates, agreements, documents and instruments on behalf of, and execute or waive any and all rights of, the Sellers under this Agreement, and this power-of-attorney, being coupled with an interest, is irrevocable and shall survive the death, incapacity or incompetence of any Seller.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By his, her or its execution of this Agreement, each Seller agrees, in addition to the foregoing, that: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Purchaser and any other Purchaser Indemnified Party shall be entitled to rely conclusively on the instructions and decisions of the Sellers Representatives as to (A) the settlement of any claims for indemnification by Purchaser or such Purchaser Indemnified Party pursuant to Article VIII or (B) any other actions required or permitted to be taken by the Sellers Representatives hereunder, and no party hereunder shall have any cause of action against Purchaser or such Purchaser Indemnified Party for any action taken by Purchaser or such Purchaser Indemnified Party in reliance upon the instructions, decisions, actions or inactions of the Sellers Representatives;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each action, inaction, decision and instruction of the Sellers Representatives shall be conclusive and binding upon all of the Sellers and no Seller shall have any cause of action against either Sellers Representative for any action taken, or failed to be taken, decision made or instruction given by the Sellers Representatives under this Agreement, except for Fraud or willful misconduct by such Sellers Representatives in connection with the matters described in this Section 8.9;</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provisions of this Section 8.9 are independent and severable, are irrevocable and coupled with an interest and shall be enforceable notwithstanding any rights or remedies that any Seller may have in connection with the Transactions;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remedies available at law for any breach of the provisions of this Section 8.9 are inadequate; therefore, Purchaser and the other Purchaser Indemnified Parties shall be entitled to seek temporary and permanent injunctive relief against any Seller without the necessity of proving damages or posting any bond if Purchaser brings an action to enforce the provisions of this Section 8.9.</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Either Sellers Representatives may resign upon thirty (30) days’ prior written notice to Purchaser, the other Sellers Representative and the Requisite Sellers. In the event of the death or permanent disability of a Sellers Representative, or a Sellers Representative shall give notice of intent to resign, then the Requisite Sellers shall, within five (5) days, appoint a replacement Sellers Representative. In addition, either Sellers Representatives may be replaced from time to time by the Requisite Sellers upon not less than ten (10) days prior written notice to Purchaser and the relevant Sellers Representative. Each successor Sellers Representative shall have all of the power, authority, rights and privileges conferred by this Agreement upon the original Sellers Representatives, and the term “Sellers Representatives” as used herein shall be deemed to include any such successor Sellers Representatives.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The provisions of this Section 8.9 shall be binding upon the executors, heirs, legal representatives, personal representatives, successor trustees and successors of each Seller, and any references in this Agreement to a Seller or the Sellers shall mean and include the successors to the rights of the Sellers hereunder, whether pursuant to testamentary disposition, the laws of descent and distribution or otherwise.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If the Sellers Representatives elect (i) to assume and control the defense and/or management of any third-party claim at the expense of the Sellers in accordance with Article VIII or (ii) to take any other action under this Agreement that may require the payment of fees or expenses, including for any attorneys, accountants, auditors or other advisors, the Sellers Representatives may refrain from taking any such action until such time as the Sellers Representatives receive funds sufficient for payment of such expenses (but in no event shall the Sellers Representatives have longer than the time specified in Article VIII of this Agreement to elect to assume control of the defense of such third-party claim).</w:t>
      </w:r>
    </w:p>
    <w:p>
      <w:pPr>
        <w:pStyle w:val="TextBody"/>
        <w:bidi w:val="0"/>
        <w:spacing w:before="0" w:after="0"/>
        <w:ind w:left="0" w:right="0" w:firstLine="1440"/>
        <w:jc w:val="both"/>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-53-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Notwithstanding anything to the contrary in this Agreement, the Parties and the Sellers, by the approval and adoption of this Agreement acknowledge and agree that this Section 8.9 shall be governed by, construed and enforced in accordance with the laws of France and any dispute among the Sellers Representatives and the Sellers relating to this Section 8.9 shall be submitted to the exclusive jurisdiction of the commercial court (</w:t>
      </w:r>
      <w:r>
        <w:rPr>
          <w:rFonts w:ascii="Times New Roman;Times;Serif" w:hAnsi="Times New Roman;Times;Serif"/>
          <w:b w:val="false"/>
          <w:i/>
          <w:caps w:val="false"/>
          <w:smallCaps w:val="false"/>
          <w:sz w:val="20"/>
        </w:rPr>
        <w:t>Tribunal des activités économiques</w:t>
      </w:r>
      <w:r>
        <w:rPr>
          <w:rFonts w:ascii="Times New Roman;Times;Serif" w:hAnsi="Times New Roman;Times;Serif"/>
          <w:b w:val="false"/>
          <w:i w:val="false"/>
          <w:caps w:val="false"/>
          <w:smallCaps w:val="false"/>
          <w:sz w:val="20"/>
        </w:rPr>
        <w:t>) of Paris, France.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Article IX</w:t>
      </w:r>
      <w:r>
        <w:rPr>
          <w:rFonts w:ascii="Times New Roman;Times;Serif" w:hAnsi="Times New Roman;Times;Serif"/>
          <w:b/>
          <w:i w:val="false"/>
          <w:caps w:val="false"/>
          <w:smallCaps w:val="false"/>
          <w:sz w:val="20"/>
        </w:rPr>
        <w:br/>
        <w:br/>
      </w:r>
      <w:r>
        <w:rPr>
          <w:rFonts w:ascii="Times New Roman;Times;Serif" w:hAnsi="Times New Roman;Times;Serif"/>
          <w:b/>
          <w:i w:val="false"/>
          <w:caps/>
          <w:sz w:val="20"/>
        </w:rPr>
        <w:t>TERMINATION</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9.1. </w:t>
      </w:r>
      <w:r>
        <w:rPr>
          <w:rFonts w:ascii="Times New Roman;Times;Serif" w:hAnsi="Times New Roman;Times;Serif"/>
          <w:b w:val="false"/>
          <w:i/>
          <w:caps w:val="false"/>
          <w:smallCaps w:val="false"/>
          <w:sz w:val="20"/>
        </w:rPr>
        <w:t>Termination</w:t>
      </w:r>
      <w:r>
        <w:rPr>
          <w:rFonts w:ascii="Times New Roman;Times;Serif" w:hAnsi="Times New Roman;Times;Serif"/>
          <w:b w:val="false"/>
          <w:i w:val="false"/>
          <w:caps w:val="false"/>
          <w:smallCaps w:val="false"/>
          <w:sz w:val="20"/>
        </w:rPr>
        <w:t>. This Agreement may be terminated at any time prior to the Closing:</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by mutual written consent of Purchaser and Sellers Representatives;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by either Purchaser or Sellers Representatives if any Governmental Entity of competent jurisdiction shall have issued a final and non-appealable Order permanently enjoining or otherwise prohibiting the consummation of the transactions contemplated by this Agreement; provided that the Party seeking to terminate this Agreement shall have used its reasonable best efforts to have such Order lifted and the other Party agrees with such termination;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by either Purchaser or Sellers Representatives if the Closing shall not have been consummated on or before December 31, 2026 (the “</w:t>
      </w:r>
      <w:r>
        <w:rPr>
          <w:rFonts w:ascii="Times New Roman;Times;Serif" w:hAnsi="Times New Roman;Times;Serif"/>
          <w:b w:val="false"/>
          <w:i w:val="false"/>
          <w:caps w:val="false"/>
          <w:smallCaps w:val="false"/>
          <w:sz w:val="20"/>
          <w:u w:val="single"/>
        </w:rPr>
        <w:t>End Date</w:t>
      </w:r>
      <w:r>
        <w:rPr>
          <w:rFonts w:ascii="Times New Roman;Times;Serif" w:hAnsi="Times New Roman;Times;Serif"/>
          <w:b w:val="false"/>
          <w:i w:val="false"/>
          <w:caps w:val="false"/>
          <w:smallCaps w:val="false"/>
          <w:sz w:val="20"/>
        </w:rPr>
        <w:t>”); provided, however, that no Party may terminate this Agreement pursuant to this Section 9.1(c) if such Party’s breach of its obligation under this Agreement resulted in or was a primary cause of the failure of the Closing to occur on or before the End Date.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By the Purchaser in the event where, after additional investigation and due diligence on the matter which the Purchaser undertakes to initiate as from the date hereof, the Purchaser reaches the conclusion that the product non-conformity and recalls described in Disclosure Schedule 3.24 would have qualified, if disclosed only after the date hereof, as a material breach of the representations referred to in Section 3.24, irrespective of the Purchaser’s knowledge of the elements disclosed in Disclosure Schedule 3.24, it being agreed by the Purchaser that the Purchaser shall make its best efforts to reach a final conclusion of such additional investigation as soon as reasonable possible prior to the Closing Date.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9.2. </w:t>
      </w:r>
      <w:r>
        <w:rPr>
          <w:rFonts w:ascii="Times New Roman;Times;Serif" w:hAnsi="Times New Roman;Times;Serif"/>
          <w:b w:val="false"/>
          <w:i/>
          <w:caps w:val="false"/>
          <w:smallCaps w:val="false"/>
          <w:sz w:val="20"/>
        </w:rPr>
        <w:t>Effect of Termination</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In the event of termination of this Agreement by either Purchaser or Seller, or both, in accordance with Section 9.1, (a) written notice thereof shall forthwith be respectively given to the Company and the Sellers Representatives (which shall notify the other Sellers) or the Company and the Purchaser and (b) this Agreement shall forthwith become void and have no effect, and none of the Parties nor any of their respective Subsidiaries or Affiliates or any of the officers, directors or managers of any of the foregoing shall have any Liability of any nature whatsoever under this Agreement or any other Transaction Document or in connection with the Transactions, except that this Article IX shall survive any termination of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anything to the contrary in this Agreement, the following provisions shall survive the Closing and shall remain in full force and effect until the later of (i) the payment in full of all Earnout Consideration or the expiration of the latest Commercial Milestone Period and (ii) the expiration of the applicable statute of limitations: Section 1.5 (Earn-out Considerations), Section 6.7 (Confidentiality), Section 6.14 (Information rights), Section 8.9 (Sellers Representatives), Article IX (Termination) and Article X (Miscellaneous).</w:t>
      </w:r>
    </w:p>
    <w:p>
      <w:pPr>
        <w:pStyle w:val="TextBody"/>
        <w:bidi w:val="0"/>
        <w:spacing w:before="0" w:after="0"/>
        <w:ind w:left="0" w:right="0" w:hanging="0"/>
        <w:jc w:val="both"/>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-54-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Breakup Fee</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If </w:t>
      </w:r>
      <w:r>
        <w:rPr>
          <w:rFonts w:ascii="Times New Roman;Times;Serif" w:hAnsi="Times New Roman;Times;Serif"/>
          <w:b w:val="false"/>
          <w:i/>
          <w:caps w:val="false"/>
          <w:smallCaps w:val="false"/>
          <w:sz w:val="20"/>
        </w:rPr>
        <w:t xml:space="preserve">(a) </w:t>
      </w:r>
      <w:r>
        <w:rPr>
          <w:rFonts w:ascii="Times New Roman;Times;Serif" w:hAnsi="Times New Roman;Times;Serif"/>
          <w:b w:val="false"/>
          <w:i w:val="false"/>
          <w:caps w:val="false"/>
          <w:smallCaps w:val="false"/>
          <w:sz w:val="20"/>
        </w:rPr>
        <w:t xml:space="preserve">Closing does not occur, </w:t>
      </w:r>
      <w:r>
        <w:rPr>
          <w:rFonts w:ascii="Times New Roman;Times;Serif" w:hAnsi="Times New Roman;Times;Serif"/>
          <w:b w:val="false"/>
          <w:i/>
          <w:caps w:val="false"/>
          <w:smallCaps w:val="false"/>
          <w:sz w:val="20"/>
        </w:rPr>
        <w:t>(b)</w:t>
      </w:r>
      <w:r>
        <w:rPr>
          <w:rFonts w:ascii="Times New Roman;Times;Serif" w:hAnsi="Times New Roman;Times;Serif"/>
          <w:b w:val="false"/>
          <w:i w:val="false"/>
          <w:caps w:val="false"/>
          <w:smallCaps w:val="false"/>
          <w:sz w:val="20"/>
        </w:rPr>
        <w:t xml:space="preserve"> the Company or a Seller has breached Section 6.9 hereof (whether such breach is known to Purchaser before or after the End Date), and </w:t>
      </w:r>
      <w:r>
        <w:rPr>
          <w:rFonts w:ascii="Times New Roman;Times;Serif" w:hAnsi="Times New Roman;Times;Serif"/>
          <w:b w:val="false"/>
          <w:i/>
          <w:caps w:val="false"/>
          <w:smallCaps w:val="false"/>
          <w:sz w:val="20"/>
        </w:rPr>
        <w:t xml:space="preserve">(c) </w:t>
      </w:r>
      <w:r>
        <w:rPr>
          <w:rFonts w:ascii="Times New Roman;Times;Serif" w:hAnsi="Times New Roman;Times;Serif"/>
          <w:b w:val="false"/>
          <w:i w:val="false"/>
          <w:caps w:val="false"/>
          <w:smallCaps w:val="false"/>
          <w:sz w:val="20"/>
        </w:rPr>
        <w:t>Sellers and/or the Company close an Alternative Transaction within 18 months from the End Date, then the Sellers (only to the extend they breached Section 6.9) and the Company shall pay Purchaser a break-up fee equal to the higher of ten percent (10%) of the total consideration in the Alternative Transaction or five million dollars ($5,000,000) (the “</w:t>
      </w:r>
      <w:r>
        <w:rPr>
          <w:rFonts w:ascii="Times New Roman;Times;Serif" w:hAnsi="Times New Roman;Times;Serif"/>
          <w:b w:val="false"/>
          <w:i w:val="false"/>
          <w:caps w:val="false"/>
          <w:smallCaps w:val="false"/>
          <w:sz w:val="20"/>
          <w:u w:val="single"/>
        </w:rPr>
        <w:t>Break-Up Fee</w:t>
      </w:r>
      <w:r>
        <w:rPr>
          <w:rFonts w:ascii="Times New Roman;Times;Serif" w:hAnsi="Times New Roman;Times;Serif"/>
          <w:b w:val="false"/>
          <w:i w:val="false"/>
          <w:caps w:val="false"/>
          <w:smallCaps w:val="false"/>
          <w:sz w:val="20"/>
        </w:rPr>
        <w:t>”) in cash by wire transfer of same-day U.S. dollars to the applicable account or accounts designated in writing to the Company by Purchaser within three (3) Business Days after closing of the Alternative Transaction. In the event that Purchaser shall receive full payment pursuant to this Section 9.2(b)(i), the receipt of the Break-Up Fee shall be deemed to be liquidated damages for losses or damages suffered or incurred by Purchaser, any of its Affiliates or any other Person in connection with this Agreement (and the termination hereof), the transactions contemplated by this Agreement (and the abandonment thereof) or any matter forming the basis for such termination, except for losses arising from Fraud, willful breach, or intentional misrepresentation by the Company or Sellers, the Company shall have no further liability, whether pursuant to a claim at law or in equity, to Purchaser or any of its Affiliates in connection with this Agreement (and the termination hereof), the transactions contemplated by this Agreement (and the abandonment thereof) or any matter forming the basis for such termination, and none of Purchaser, its Affiliates or any other Person shall be entitled to bring or maintain any proceeding against the Company or any of its Affiliates for damages or any equitable relief arising out of or in connection with this Agreement (other than equitable relief to require payment of the Break-Up Fee or claims for Fraud, willful breach, or intentional misrepresentation), any of the transactions contemplated by this Agreement or any matters forming the basis for such termination; provided, that (A) nothing in this Section 9.2(b)(i) shall relieve the Company from any liabilities or damages resulting from any Fraud or willful breach committed by the Company prior to such termination and (B) if the Company fails to pay the Break-Up Fee in accordance with this Section 9.2(b)(i) and Purchaser commences a suit which results in a final, non-appealable judgment against the Company for the Break-Up Fee or any portion thereof, then the Company shall pay Purchaser its costs and expenses (including reasonable attorney’s fees and disbursements) in connection with such suit, together with interest on the Break-Up Fee from and including the date payment of such amount was due through the date of payment, at the “prime rate” as published in The Wall Street Journal, Eastern Edition, in effect on the date such payment was required to be made plus two percent (2%) (calculated daily on the basis of a year of 365 days and the actual number of days elapsed, without compounding).</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If </w:t>
      </w:r>
      <w:r>
        <w:rPr>
          <w:rFonts w:ascii="Times New Roman;Times;Serif" w:hAnsi="Times New Roman;Times;Serif"/>
          <w:b w:val="false"/>
          <w:i/>
          <w:caps w:val="false"/>
          <w:smallCaps w:val="false"/>
          <w:sz w:val="20"/>
        </w:rPr>
        <w:t xml:space="preserve">(a) </w:t>
      </w:r>
      <w:r>
        <w:rPr>
          <w:rFonts w:ascii="Times New Roman;Times;Serif" w:hAnsi="Times New Roman;Times;Serif"/>
          <w:b w:val="false"/>
          <w:i w:val="false"/>
          <w:caps w:val="false"/>
          <w:smallCaps w:val="false"/>
          <w:sz w:val="20"/>
        </w:rPr>
        <w:t>Closing does not occur and (b) Purchaser has breached its obligation to subscribe and pay IF Bonds in accordance with Section 6.12, then Purchaser shall pay to the Company a break-up fee equal to 1.5 multiplied by the total amount remaining to be paid (and not paid by the Purchaser) pursuant to the Approved Q2 Budget (the “</w:t>
      </w:r>
      <w:r>
        <w:rPr>
          <w:rFonts w:ascii="Times New Roman;Times;Serif" w:hAnsi="Times New Roman;Times;Serif"/>
          <w:b w:val="false"/>
          <w:i w:val="false"/>
          <w:caps w:val="false"/>
          <w:smallCaps w:val="false"/>
          <w:sz w:val="20"/>
          <w:u w:val="single"/>
        </w:rPr>
        <w:t>Purchaser Break-Up Fee</w:t>
      </w:r>
      <w:r>
        <w:rPr>
          <w:rFonts w:ascii="Times New Roman;Times;Serif" w:hAnsi="Times New Roman;Times;Serif"/>
          <w:b w:val="false"/>
          <w:i w:val="false"/>
          <w:caps w:val="false"/>
          <w:smallCaps w:val="false"/>
          <w:sz w:val="20"/>
        </w:rPr>
        <w:t>”) in cash by wire transfer of same-day U.S. dollars to the Company’s account within three (3) Business Days after such termination. In the event that the Sellers shall receive full payment pursuant to this Section 9.2(b)(ii), the receipt of the Purchaser Break-Up Fee shall be deemed to be liquidated damages for losses or damages suffered or incurred by the Sellers, any of their respective Affiliates or any other Person in connection with this Agreement (and the termination hereof), the transactions contemplated by this Agreement (and the abandonment thereof) or any matter forming the basis for such termination, except for losses arising from Fraud, willful breach, or intentional misrepresentation by Purchaser, Purchaser shall have no further liability, whether pursuant to a claim at law or in equity, to the Company, Sellers or any of their respective Affiliates in connection with this Agreement (and the termination hereof), the transactions contemplated by this Agreement (and the abandonment thereof) or any matter forming the basis for such termination, and none of the Sellers, their respective Affiliates or any other Person shall be entitled to bring or maintain any proceeding against Purchaser or any of its Affiliates for damages or any equitable relief arising out of or in connection with this Agreement (other than equitable relief to require payment of the Purchaser Break-Up Fee or claims for Fraud, willful breach, or intentional misrepresentation), any of the transactions contemplated by this Agreement or any matters forming the basis for such termination; provided, that (A) nothing in this Section 9.2(b) (ii) shall relieve Purchaser from any liabilities or damages resulting from any Fraud or willful breach committed by Purchaser prior to such termination and (B) if Purchaser fails to pay the Purchaser Break-Up Fee in accordance with this Section 9.2(b)(ii) and the Sellers Representatives commence a suit which results in a final, non-appealable judgment against Purchaser for the Purchaser Break-Up Fee or any portion thereof, then Purchaser shall pay the Sellers their costs and expenses (including reasonable attorney’s fees and disbursements) in connection with such suit, together with interest on the Purchaser Break-Up Fee from and including the date payment of such amount was due through the date of payment, at the “prime rate” as published in The Wall Street Journal, Eastern Edition, in effect on the date such payment was required to be made plus two percent (2%) (calculated daily on the basis of a year of 365 days and the actual number of days elapsed, without compounding).</w:t>
      </w:r>
    </w:p>
    <w:p>
      <w:pPr>
        <w:pStyle w:val="TextBody"/>
        <w:bidi w:val="0"/>
        <w:spacing w:before="0" w:after="0"/>
        <w:ind w:left="0" w:right="0" w:firstLine="2160"/>
        <w:jc w:val="both"/>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-55-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Each Break-Up Fee and Purchaser Break-Up Fee, as applicable, is non-refundable and shall not be offset by or credited against any other payment. Each of the Parties acknowledges and agrees that the agreements contained in this Section 9.2(b) are an integral part of the transactions contemplated by this Agreement, and that, without these agreements, the Parties would not enter into this Agreement. Notwithstanding the foregoing, nothing in Section 9.2(b) shall require Sellers to close the Transactions or to waive the conditions to Sellers’ obligations in Section 7.1 or Section 7.3, or require Purchaser to close the Transactions or to waive the conditions to Purchaser’s obligations in Section 7.1 or Section 7.2; provided, however, that (A) Sellers shall remain obligated to pay the Break-Up Fee if the conditions in Section 9.2(b)(i) are satisfied, regardless of whether the conditions to Purchaser’s obligations in Section 7.2 are satisfied, and (B) Purchaser shall remain obligated to pay the Purchaser Break-Up Fee if the conditions in Section 9.2(b)(ii) are satisfied, regardless of whether the conditions to Sellers’ obligations in Section 7.3 are satisfied.</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Article X</w:t>
      </w:r>
      <w:r>
        <w:rPr>
          <w:rFonts w:ascii="Times New Roman;Times;Serif" w:hAnsi="Times New Roman;Times;Serif"/>
          <w:b/>
          <w:i w:val="false"/>
          <w:caps w:val="false"/>
          <w:smallCaps w:val="false"/>
          <w:sz w:val="20"/>
        </w:rPr>
        <w:br/>
        <w:br/>
      </w:r>
      <w:r>
        <w:rPr>
          <w:rFonts w:ascii="Times New Roman;Times;Serif" w:hAnsi="Times New Roman;Times;Serif"/>
          <w:b/>
          <w:i w:val="false"/>
          <w:caps/>
          <w:sz w:val="20"/>
        </w:rPr>
        <w:t>MISCELLANEOUS</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10.1. </w:t>
      </w:r>
      <w:r>
        <w:rPr>
          <w:rFonts w:ascii="Times New Roman;Times;Serif" w:hAnsi="Times New Roman;Times;Serif"/>
          <w:b w:val="false"/>
          <w:i/>
          <w:caps w:val="false"/>
          <w:smallCaps w:val="false"/>
          <w:sz w:val="20"/>
        </w:rPr>
        <w:t>Exchange Rate</w:t>
      </w:r>
      <w:r>
        <w:rPr>
          <w:rFonts w:ascii="Times New Roman;Times;Serif" w:hAnsi="Times New Roman;Times;Serif"/>
          <w:b w:val="false"/>
          <w:i w:val="false"/>
          <w:caps w:val="false"/>
          <w:smallCaps w:val="false"/>
          <w:sz w:val="20"/>
        </w:rPr>
        <w:t>. When any amount stated in Euros in this Agreement needs to be converted into US dollars, or vice-versa, the then prevailing EUR to USD exchange rate shall be the reported closing rate, as published by the Wall Street Journal, as of the second Business Day prior to the date of the relevant payment or calculation made or to be made under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10.2. </w:t>
      </w:r>
      <w:r>
        <w:rPr>
          <w:rFonts w:ascii="Times New Roman;Times;Serif" w:hAnsi="Times New Roman;Times;Serif"/>
          <w:b w:val="false"/>
          <w:i/>
          <w:caps w:val="false"/>
          <w:smallCaps w:val="false"/>
          <w:sz w:val="20"/>
        </w:rPr>
        <w:t>Amendment and Modification</w:t>
      </w:r>
      <w:r>
        <w:rPr>
          <w:rFonts w:ascii="Times New Roman;Times;Serif" w:hAnsi="Times New Roman;Times;Serif"/>
          <w:b w:val="false"/>
          <w:i w:val="false"/>
          <w:caps w:val="false"/>
          <w:smallCaps w:val="false"/>
          <w:sz w:val="20"/>
        </w:rPr>
        <w:t>. This Agreement may only be amended, modified and supplemented by written agreement of Company, Purchaser and the Sellers Representatives (it being specified that the Sellers Representatives shall obtain the Requisite Sellers authorization, unless for technical amendments).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10.3. </w:t>
      </w:r>
      <w:r>
        <w:rPr>
          <w:rFonts w:ascii="Times New Roman;Times;Serif" w:hAnsi="Times New Roman;Times;Serif"/>
          <w:b w:val="false"/>
          <w:i/>
          <w:caps w:val="false"/>
          <w:smallCaps w:val="false"/>
          <w:sz w:val="20"/>
        </w:rPr>
        <w:t>Adherence and Transfer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Adherence Prior to Closing. Any Person who, after the date of this Agreement and prior to the Closing Date, acquires any Securities of the Company (whether by way of subscription, purchase, transfer, conversion, exercise or otherwise), or who is not a Party to this Agreement but holds Securities of the Company which are not cancelled prior to Closing, shall execute and deliver to the Sellers Representatives a deed of adherence in the form attached hereto as </w:t>
      </w:r>
      <w:r>
        <w:rPr>
          <w:rFonts w:ascii="Times New Roman;Times;Serif" w:hAnsi="Times New Roman;Times;Serif"/>
          <w:b w:val="false"/>
          <w:i w:val="false"/>
          <w:caps w:val="false"/>
          <w:smallCaps w:val="false"/>
          <w:sz w:val="20"/>
          <w:u w:val="single"/>
        </w:rPr>
        <w:t>Exhibit 10.3</w:t>
      </w:r>
      <w:r>
        <w:rPr>
          <w:rFonts w:ascii="Times New Roman;Times;Serif" w:hAnsi="Times New Roman;Times;Serif"/>
          <w:b w:val="false"/>
          <w:i w:val="false"/>
          <w:caps w:val="false"/>
          <w:smallCaps w:val="false"/>
          <w:sz w:val="20"/>
        </w:rPr>
        <w:t xml:space="preserve"> (a “</w:t>
      </w:r>
      <w:r>
        <w:rPr>
          <w:rFonts w:ascii="Times New Roman;Times;Serif" w:hAnsi="Times New Roman;Times;Serif"/>
          <w:b w:val="false"/>
          <w:i w:val="false"/>
          <w:caps w:val="false"/>
          <w:smallCaps w:val="false"/>
          <w:sz w:val="20"/>
          <w:u w:val="single"/>
        </w:rPr>
        <w:t>Deed of Adherence</w:t>
      </w:r>
      <w:r>
        <w:rPr>
          <w:rFonts w:ascii="Times New Roman;Times;Serif" w:hAnsi="Times New Roman;Times;Serif"/>
          <w:b w:val="false"/>
          <w:i w:val="false"/>
          <w:caps w:val="false"/>
          <w:smallCaps w:val="false"/>
          <w:sz w:val="20"/>
        </w:rPr>
        <w:t>”), pursuant to which such Person shall adhere to this Agreement and assume all rights and obligations of a Seller hereunder with respect to the Securities so acquired, as if such Person had been an original party to this Agreement as a Seller. By exception, the Deed of Adherence of EIB will execute a specific Deed of Adherence in the form attached hereto as Exhibit 10.3(b) providing for (i) specific representations pursuant to Article IV, (ii) the EIB not to be bound by all Seller obligation to use efforts to procure an action from the Company or that the Company refrain from certain actions, which is acknowledged and agreed by all Parties, (iii) the EIB not to be bound by Section 6.8. No transfer or issuance of Securities of the Company shall be valid or effective, and the Company shall not register any such transfer or issuance in its share transfer register (</w:t>
      </w:r>
      <w:r>
        <w:rPr>
          <w:rFonts w:ascii="Times New Roman;Times;Serif" w:hAnsi="Times New Roman;Times;Serif"/>
          <w:b w:val="false"/>
          <w:i/>
          <w:caps w:val="false"/>
          <w:smallCaps w:val="false"/>
          <w:sz w:val="20"/>
        </w:rPr>
        <w:t>registre des mouvements de titres</w:t>
      </w:r>
      <w:r>
        <w:rPr>
          <w:rFonts w:ascii="Times New Roman;Times;Serif" w:hAnsi="Times New Roman;Times;Serif"/>
          <w:b w:val="false"/>
          <w:i w:val="false"/>
          <w:caps w:val="false"/>
          <w:smallCaps w:val="false"/>
          <w:sz w:val="20"/>
        </w:rPr>
        <w:t>), unless and until the relevant Person has duly executed and delivered a Deed of Adherence in accordance with this Section 10.3(a). The Sellers Representatives shall promptly notify Purchaser of any such acquisition and shall deliver a copy of the executed Deed of Adherence to Purchaser within two (2) Business Days of its execution.</w:t>
      </w:r>
    </w:p>
    <w:p>
      <w:pPr>
        <w:pStyle w:val="TextBody"/>
        <w:bidi w:val="0"/>
        <w:spacing w:before="0" w:after="0"/>
        <w:ind w:left="0" w:right="0" w:firstLine="720"/>
        <w:jc w:val="both"/>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-56-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Transfer of Earnout Consideration Receivables. Subject to prior written notice to the Sellers Representatives and Purchaser (provided for information purposes only, it being specified that no consent shall be required), any Seller may assign, transfer or otherwise dispose of all or any portion of its right, title and interest in and to any Earnout Consideration receivable (whether or not then due and payable) to any assignee (including without limitation any Affiliate of such Seller) provided that (A) such assignee shall have executed and delivered to the Sellers Representatives and Purchaser a Deed of Adherence and (B) such assignment shall not increase the obligations or liabilities of Purchaser 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assignment made in accordance with this Section 10.3(b) shall be valid and binding upon Purchaser, and Purchaser shall make payment of the relevant Earnout Consideration to the assignee(s) in accordance with the payment instructions provided by the Sellers Representatives.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Pre-Closing transfers of Securities. Notwithstanding anything to the contrary set forth in this Agreement, the Parties acknowledge and accept that (i) [***] and [***] may decide to transfer their respective shareholdings in the Company (i.e. [***] Company Ordinary Shares held by [***] and [***] Company Ordinary Shares held by [***] respectively) immediately prior to Closing to [***] and (ii) the [***] will need to comply with related regulatory requirements prior to Closing and may decide to transfer their respective shareholdings in the Company (i.e. [***] Company Ordinary Shares and [***] preferred shares “D1 Shares” held by [***] and [***] Company Ordinary Shares held by [***] respectively) prior to Closing to an Affiliate or another Seller (together the “</w:t>
      </w:r>
      <w:r>
        <w:rPr>
          <w:rFonts w:ascii="Times New Roman;Times;Serif" w:hAnsi="Times New Roman;Times;Serif"/>
          <w:b w:val="false"/>
          <w:i w:val="false"/>
          <w:caps w:val="false"/>
          <w:smallCaps w:val="false"/>
          <w:sz w:val="20"/>
          <w:u w:val="single"/>
        </w:rPr>
        <w:t>Transferor</w:t>
      </w:r>
      <w:r>
        <w:rPr>
          <w:rFonts w:ascii="Times New Roman;Times;Serif" w:hAnsi="Times New Roman;Times;Serif"/>
          <w:b w:val="false"/>
          <w:i w:val="false"/>
          <w:caps w:val="false"/>
          <w:smallCaps w:val="false"/>
          <w:sz w:val="20"/>
        </w:rPr>
        <w:t>”, the “</w:t>
      </w:r>
      <w:r>
        <w:rPr>
          <w:rFonts w:ascii="Times New Roman;Times;Serif" w:hAnsi="Times New Roman;Times;Serif"/>
          <w:b w:val="false"/>
          <w:i w:val="false"/>
          <w:caps w:val="false"/>
          <w:smallCaps w:val="false"/>
          <w:sz w:val="20"/>
          <w:u w:val="single"/>
        </w:rPr>
        <w:t>Transferred Securities</w:t>
      </w:r>
      <w:r>
        <w:rPr>
          <w:rFonts w:ascii="Times New Roman;Times;Serif" w:hAnsi="Times New Roman;Times;Serif"/>
          <w:b w:val="false"/>
          <w:i w:val="false"/>
          <w:caps w:val="false"/>
          <w:smallCaps w:val="false"/>
          <w:sz w:val="20"/>
        </w:rPr>
        <w:t>” and the “</w:t>
      </w:r>
      <w:r>
        <w:rPr>
          <w:rFonts w:ascii="Times New Roman;Times;Serif" w:hAnsi="Times New Roman;Times;Serif"/>
          <w:b w:val="false"/>
          <w:i w:val="false"/>
          <w:caps w:val="false"/>
          <w:smallCaps w:val="false"/>
          <w:sz w:val="20"/>
          <w:u w:val="single"/>
        </w:rPr>
        <w:t>Pre-Closing Transfer</w:t>
      </w:r>
      <w:r>
        <w:rPr>
          <w:rFonts w:ascii="Times New Roman;Times;Serif" w:hAnsi="Times New Roman;Times;Serif"/>
          <w:b w:val="false"/>
          <w:i w:val="false"/>
          <w:caps w:val="false"/>
          <w:smallCaps w:val="false"/>
          <w:sz w:val="20"/>
        </w:rPr>
        <w:t>”), provided only that each concerned Transferor will notify the Pre-Closing Transfer to the Purchaser and the Sellers Representatives by no later than five (5) Business Days prior to Closing Date (the “</w:t>
      </w:r>
      <w:r>
        <w:rPr>
          <w:rFonts w:ascii="Times New Roman;Times;Serif" w:hAnsi="Times New Roman;Times;Serif"/>
          <w:b w:val="false"/>
          <w:i w:val="false"/>
          <w:caps w:val="false"/>
          <w:smallCaps w:val="false"/>
          <w:sz w:val="20"/>
          <w:u w:val="single"/>
        </w:rPr>
        <w:t>Pre-Closing Transfer Notice</w:t>
      </w:r>
      <w:r>
        <w:rPr>
          <w:rFonts w:ascii="Times New Roman;Times;Serif" w:hAnsi="Times New Roman;Times;Serif"/>
          <w:b w:val="false"/>
          <w:i w:val="false"/>
          <w:caps w:val="false"/>
          <w:smallCaps w:val="false"/>
          <w:sz w:val="20"/>
        </w:rPr>
        <w:t>”). The Pre-Closing Transfer Notice, executed in each case by the concerned Transferors and the transferee of such Transferred Securities, (i) shall confirm the irrevocable Transferors and transferee’s undertaking to proceed with the Pre-Closing Transfer subject only to Closing, (ii) shall include the duly executed Deed of Adherence of the transferee and (iii) shall include a markup copy of Exhibit A and of Section 4.1 of the Company Disclosure Letter reflecting the Pre-Closing Transfer and replacing, effective immediately prior to but subject to Closing, Exhibit A and Section 4.1 of the Pre-Closing Disclosure Letter. The Pre-Closing Transfer shall result in the concerned Transferor no longer being Seller under the Agreement and being with no outstanding obligations or liabilities to the Purchaser under the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Waiver under Company Shareholders’ Agreements. Each Seller hereby expressly and irrevocably (i) authorizes and consents to any transfer (including the Pre-Closing Transfer), assignment, adherence or other disposition of Securities or Earnout Consideration receivables contemplated by this Section 10.3, including the execution and delivery of any Deed of Adherence in connection therewith, and (ii) waives, to the fullest extent permitted by applicable Law, any and all rights that such Seller may hold or to which such Seller may be entitled under any Company Shareholders’ Agreement (for the avoidance of doubt including but not limited, any right for notification, pre-emption right, right of first refusal or co-sale right under the Company Shareholders’ Agreement) or any other agreement among the shareholders of the Company, to the extent that such rights would restrict, delay or otherwise impede any transfer (including the Pre-Closing Transfer), assignment, adherence or disposition contemplated by this Section 10.3.</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10.4. </w:t>
      </w:r>
      <w:r>
        <w:rPr>
          <w:rFonts w:ascii="Times New Roman;Times;Serif" w:hAnsi="Times New Roman;Times;Serif"/>
          <w:b w:val="false"/>
          <w:i/>
          <w:caps w:val="false"/>
          <w:smallCaps w:val="false"/>
          <w:sz w:val="20"/>
        </w:rPr>
        <w:t>Termination of Existing Agreements and BSA Ratchet Waiver.</w:t>
      </w:r>
      <w:r>
        <w:rPr>
          <w:rFonts w:ascii="Times New Roman;Times;Serif" w:hAnsi="Times New Roman;Times;Serif"/>
          <w:b w:val="false"/>
          <w:i w:val="false"/>
          <w:caps w:val="false"/>
          <w:smallCaps w:val="false"/>
          <w:sz w:val="20"/>
        </w:rPr>
        <w:t xml:space="preserve"> Each Seller who is a party to a Company Shareholders’ Agreement and/or the investment agreement dated April 24, 2025 (the “</w:t>
      </w:r>
      <w:r>
        <w:rPr>
          <w:rFonts w:ascii="Times New Roman;Times;Serif" w:hAnsi="Times New Roman;Times;Serif"/>
          <w:b w:val="false"/>
          <w:i w:val="false"/>
          <w:caps w:val="false"/>
          <w:smallCaps w:val="false"/>
          <w:sz w:val="20"/>
          <w:u w:val="single"/>
        </w:rPr>
        <w:t>Investment Agreement</w:t>
      </w:r>
      <w:r>
        <w:rPr>
          <w:rFonts w:ascii="Times New Roman;Times;Serif" w:hAnsi="Times New Roman;Times;Serif"/>
          <w:b w:val="false"/>
          <w:i w:val="false"/>
          <w:caps w:val="false"/>
          <w:smallCaps w:val="false"/>
          <w:sz w:val="20"/>
        </w:rPr>
        <w:t>”) hereby irrevocably consents to the transfer of the Shares it holds at Closing to Purchaser and to the other Transactions and waives any contractual or legal rights it may have in connection with, and/or as a result of, the sale under the relevant Company Shareholders’ Agreements and/or Investment Agreement. Further, upon the completion of the transfer of the Sold Securities held by the Sellers to Purchaser pursuant to the Agreement at Closing, each Seller hereby irrevocably agrees that, effective from the Closing Date, the Company Shareholders’ Agreements and/or the Investment Agreement to which it/he/she is a party shall automatically terminate (subject to any right the Company or any other party thereto has as a result of a default from such Seller under the Company Shareholders’ Agreements) and declares that all of its rights under the Company Shareholders’ Agreements have been satisfied and that it/he/she has satisfied and met all of its obligations thereunder.</w:t>
      </w:r>
    </w:p>
    <w:p>
      <w:pPr>
        <w:pStyle w:val="TextBody"/>
        <w:bidi w:val="0"/>
        <w:spacing w:before="0" w:after="0"/>
        <w:ind w:left="0" w:right="0" w:firstLine="720"/>
        <w:jc w:val="both"/>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-57-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condition subsequent (</w:t>
      </w:r>
      <w:r>
        <w:rPr>
          <w:rFonts w:ascii="Times New Roman;Times;Serif" w:hAnsi="Times New Roman;Times;Serif"/>
          <w:b w:val="false"/>
          <w:i/>
          <w:caps w:val="false"/>
          <w:smallCaps w:val="false"/>
          <w:sz w:val="20"/>
        </w:rPr>
        <w:t>condition résolutoire</w:t>
      </w:r>
      <w:r>
        <w:rPr>
          <w:rFonts w:ascii="Times New Roman;Times;Serif" w:hAnsi="Times New Roman;Times;Serif"/>
          <w:b w:val="false"/>
          <w:i w:val="false"/>
          <w:caps w:val="false"/>
          <w:smallCaps w:val="false"/>
          <w:sz w:val="20"/>
        </w:rPr>
        <w:t>) of the non-consummation of the Closing at the latest on the End Date, each Seller holding BSA Ratchet hereby, definitively and irrevocably, waives, as of the date of this Agreement, (i) all of its BSA Ratchet, without any consideration whatsoever, and (ii) any action or remedy, of whatever nature, against the Company in respect of the BSA Ratchet and/or in connection with this waiver. Each Seller holding BSA Ratchet hereby authorizes the Company to record this waiver and, consequently, the lapse of all of its BSA Ratchet, and to make the corresponding entries in the holder’s account and the Company’s register of share movements. Each Seller holding BSA Ratchet hereby acknowledges and agrees that such waiver entails, subject to the above-mentioned condition subsequent, the definitive and immediate relinquishment of all rights attached to the BSA Ratchet, and in particular the right to subscribe for shares in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10.5. </w:t>
      </w:r>
      <w:r>
        <w:rPr>
          <w:rFonts w:ascii="Times New Roman;Times;Serif" w:hAnsi="Times New Roman;Times;Serif"/>
          <w:b w:val="false"/>
          <w:i/>
          <w:caps w:val="false"/>
          <w:smallCaps w:val="false"/>
          <w:sz w:val="20"/>
        </w:rPr>
        <w:t>Notice.</w:t>
      </w:r>
      <w:r>
        <w:rPr>
          <w:rFonts w:ascii="Times New Roman;Times;Serif" w:hAnsi="Times New Roman;Times;Serif"/>
          <w:b w:val="false"/>
          <w:i w:val="false"/>
          <w:caps w:val="false"/>
          <w:smallCaps w:val="false"/>
          <w:sz w:val="20"/>
        </w:rPr>
        <w:t xml:space="preserve"> All notices and other communications hereunder shall be in writing and shall be deemed given (a) upon receipt if delivered personally, (b) when transmitted via electronic mail if the sender on the same day sends a confirming copy of such notice by a recognized overnight delivery service (charges prepaid) or (c) on the first Business Day following dispatch if sent by an internationally recognized overnight courier service, such as Federal Express, to the Parties at the following addresses (or at such other address for a Party as shall be specified by like notice):</w:t>
      </w:r>
    </w:p>
    <w:p>
      <w:pPr>
        <w:pStyle w:val="TextBody"/>
        <w:bidi w:val="0"/>
        <w:spacing w:before="0" w:after="0"/>
        <w:ind w:left="0" w:right="0" w:hanging="0"/>
        <w:jc w:val="both"/>
        <w:rPr>
          <w:caps w:val="false"/>
          <w:smallCaps w:val="false"/>
        </w:rPr>
      </w:pPr>
      <w:r>
        <w:rPr>
          <w:caps w:val="false"/>
          <w:smallCaps w:val="false"/>
        </w:rPr>
        <w:t> </w:t>
      </w:r>
    </w:p>
    <w:tbl>
      <w:tblPr>
        <w:tblW w:w="7090" w:type="dxa"/>
        <w:jc w:val="left"/>
        <w:tblInd w:w="0" w:type="dxa"/>
        <w:tblLayout w:type="fixed"/>
        <w:tblCellMar>
          <w:top w:w="0" w:type="dxa"/>
          <w:left w:w="0" w:type="dxa"/>
          <w:bottom w:w="0" w:type="dxa"/>
          <w:right w:w="0" w:type="dxa"/>
        </w:tblCellMar>
      </w:tblPr>
      <w:tblGrid>
        <w:gridCol w:w="75"/>
        <w:gridCol w:w="245"/>
        <w:gridCol w:w="6770"/>
      </w:tblGrid>
      <w:tr>
        <w:trPr/>
        <w:tc>
          <w:tcPr>
            <w:tcW w:w="75"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245" w:type="dxa"/>
            <w:tcBorders/>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6770" w:type="dxa"/>
            <w:tcBorders/>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Purchaser to:</w:t>
            </w:r>
          </w:p>
        </w:tc>
      </w:tr>
      <w:tr>
        <w:trPr/>
        <w:tc>
          <w:tcPr>
            <w:tcW w:w="75"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245"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677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67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Stereotaxis, Inc.</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67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710 N. Tucker Blvd. Suite 110</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67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 Louis, MO 63101</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67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CEO, CFO, General Counsel</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67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Telephone: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67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 [***];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677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67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(which shall not constitute notice) to:</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677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67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Bryan Cave Leighton Paisner LLP</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67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211 N. Broadway #3600,</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67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 Louis, MO 63102</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67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67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Telephone: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67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6770"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245" w:type="dxa"/>
            <w:tcBorders/>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6770" w:type="dxa"/>
            <w:tcBorders/>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Company prior to Closing to the Sellers Representatives as from Closing Date:</w:t>
            </w:r>
          </w:p>
        </w:tc>
      </w:tr>
      <w:tr>
        <w:trPr/>
        <w:tc>
          <w:tcPr>
            <w:tcW w:w="75"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245"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677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67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Robocath</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67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 rue Marie Curie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67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76000 Rouen, France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67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67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Telephone: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67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677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67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Sellers Reps: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67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Supernova Invest,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67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97, rue Saint-Lazare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67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75009 Paris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677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67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67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Telephone: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67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677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67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Philippe Bencteux</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67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67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Telephone: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67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w:t>
            </w:r>
          </w:p>
        </w:tc>
      </w:tr>
    </w:tbl>
    <w:p>
      <w:pPr>
        <w:pStyle w:val="TextBody"/>
        <w:bidi w:val="0"/>
        <w:spacing w:before="0" w:after="0"/>
        <w:ind w:left="0" w:right="0" w:hanging="0"/>
        <w:jc w:val="both"/>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-58-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4205" w:type="dxa"/>
        <w:jc w:val="left"/>
        <w:tblInd w:w="0" w:type="dxa"/>
        <w:tblLayout w:type="fixed"/>
        <w:tblCellMar>
          <w:top w:w="0" w:type="dxa"/>
          <w:left w:w="0" w:type="dxa"/>
          <w:bottom w:w="0" w:type="dxa"/>
          <w:right w:w="0" w:type="dxa"/>
        </w:tblCellMar>
      </w:tblPr>
      <w:tblGrid>
        <w:gridCol w:w="75"/>
        <w:gridCol w:w="60"/>
        <w:gridCol w:w="407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0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(which shall not constitute notice) to:</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07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0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Goodwin Procter LLP (France)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0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 rue d’Astorg</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0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75008 Paris, France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0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0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Telephone: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0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w:t>
            </w:r>
          </w:p>
        </w:tc>
      </w:tr>
    </w:tbl>
    <w:p>
      <w:pPr>
        <w:pStyle w:val="TextBody"/>
        <w:bidi w:val="0"/>
        <w:spacing w:before="0" w:after="0"/>
        <w:ind w:left="216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10.6. </w:t>
      </w:r>
      <w:r>
        <w:rPr>
          <w:rFonts w:ascii="Times New Roman;Times;Serif" w:hAnsi="Times New Roman;Times;Serif"/>
          <w:b w:val="false"/>
          <w:i/>
          <w:caps w:val="false"/>
          <w:smallCaps w:val="false"/>
          <w:sz w:val="20"/>
        </w:rPr>
        <w:t>Counterparts</w:t>
      </w:r>
      <w:r>
        <w:rPr>
          <w:rFonts w:ascii="Times New Roman;Times;Serif" w:hAnsi="Times New Roman;Times;Serif"/>
          <w:b w:val="false"/>
          <w:i w:val="false"/>
          <w:caps w:val="false"/>
          <w:smallCaps w:val="false"/>
          <w:sz w:val="20"/>
        </w:rPr>
        <w:t>. This Agreement may be executed in one or more counterparts (whether delivered by facsimile or otherwise), each of which shall be considered one and the same agreement. Signatures to this Agreement may be transmitted by facsimile or .pdf file and such signatures shall be deemed to be originals.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10.7. </w:t>
      </w:r>
      <w:r>
        <w:rPr>
          <w:rFonts w:ascii="Times New Roman;Times;Serif" w:hAnsi="Times New Roman;Times;Serif"/>
          <w:b w:val="false"/>
          <w:i/>
          <w:caps w:val="false"/>
          <w:smallCaps w:val="false"/>
          <w:sz w:val="20"/>
        </w:rPr>
        <w:t>Entire Agreement; No Third Party Beneficiaries</w:t>
      </w:r>
      <w:r>
        <w:rPr>
          <w:rFonts w:ascii="Times New Roman;Times;Serif" w:hAnsi="Times New Roman;Times;Serif"/>
          <w:b w:val="false"/>
          <w:i w:val="false"/>
          <w:caps w:val="false"/>
          <w:smallCaps w:val="false"/>
          <w:sz w:val="20"/>
        </w:rPr>
        <w:t>. This Agreement and the Related Agreements (including the documents and the instruments referred to herein and therein and other documents or agreements executed by both Parties and delivered to each other contemporaneously herewith): (a) constitute the entire agreement and supersede all prior agreements, negotiations, arrangements and understandings, both written and oral, among the Parties with respect to the subject matter hereof and thereof, and (b) except for the rights of Indemnified Parties as provided in Article VIII, are not intended to confer upon any Person, other than the Parties hereto, any rights or remedies 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10.8. </w:t>
      </w:r>
      <w:r>
        <w:rPr>
          <w:rFonts w:ascii="Times New Roman;Times;Serif" w:hAnsi="Times New Roman;Times;Serif"/>
          <w:b w:val="false"/>
          <w:i/>
          <w:caps w:val="false"/>
          <w:smallCaps w:val="false"/>
          <w:sz w:val="20"/>
        </w:rPr>
        <w:t>Severability</w:t>
      </w:r>
      <w:r>
        <w:rPr>
          <w:rFonts w:ascii="Times New Roman;Times;Serif" w:hAnsi="Times New Roman;Times;Serif"/>
          <w:b w:val="false"/>
          <w:i w:val="false"/>
          <w:caps w:val="false"/>
          <w:smallCaps w:val="false"/>
          <w:sz w:val="20"/>
        </w:rPr>
        <w:t>. Any term or provision of this Agreement that is held by a court of competent jurisdiction or other authority to be invalid, void or unenforceable in any situation in any jurisdiction shall not affect the validity or enforceability of the remaining terms and provisions hereof or the validity or enforceability of the invalid, void or unenforceable term or provision in any other situation or in any other jurisdiction. If the final judgment of a court of competent jurisdiction or other authority declares that any term or provision hereof is invalid, void or unenforceable, the Parties agree that the court making such determination shall have the power to and shall, subject to the discretion of such court, reduce the scope, duration, area or applicability of the term or provision, to delete specific words or phrases, or to replace any invalid, void or unenforceable term or provision with a term or provision that is valid and enforceable and that comes closest to expressing the intention of the invalid or unenforceable term or provision.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10.9. </w:t>
      </w:r>
      <w:r>
        <w:rPr>
          <w:rFonts w:ascii="Times New Roman;Times;Serif" w:hAnsi="Times New Roman;Times;Serif"/>
          <w:b w:val="false"/>
          <w:i/>
          <w:caps w:val="false"/>
          <w:smallCaps w:val="false"/>
          <w:sz w:val="20"/>
        </w:rPr>
        <w:t>Governing Law</w:t>
      </w:r>
      <w:r>
        <w:rPr>
          <w:rFonts w:ascii="Times New Roman;Times;Serif" w:hAnsi="Times New Roman;Times;Serif"/>
          <w:b w:val="false"/>
          <w:i w:val="false"/>
          <w:caps w:val="false"/>
          <w:smallCaps w:val="false"/>
          <w:sz w:val="20"/>
        </w:rPr>
        <w:t>. This Agreement shall be governed by and construed in accordance with the laws of the State of Delaware without regard for conflicts of laws principles.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10.10. </w:t>
      </w:r>
      <w:r>
        <w:rPr>
          <w:rFonts w:ascii="Times New Roman;Times;Serif" w:hAnsi="Times New Roman;Times;Serif"/>
          <w:b w:val="false"/>
          <w:i/>
          <w:caps w:val="false"/>
          <w:smallCaps w:val="false"/>
          <w:sz w:val="20"/>
        </w:rPr>
        <w:t>Venue and Jurisdiction</w:t>
      </w:r>
      <w:r>
        <w:rPr>
          <w:rFonts w:ascii="Times New Roman;Times;Serif" w:hAnsi="Times New Roman;Times;Serif"/>
          <w:b w:val="false"/>
          <w:i w:val="false"/>
          <w:caps w:val="false"/>
          <w:smallCaps w:val="false"/>
          <w:sz w:val="20"/>
        </w:rPr>
        <w:t>. Except as otherwise set forth in this Agreement, any Proceeding or other legal action relating to this Agreement or the enforcement of any provision of this Agreement must be brought or otherwise commenced in any state or federal court located in the State of Delaware or St. Louis, Missouri. Each Party: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expressly and irrevocably consents and submits to the exclusive jurisdiction of each state and federal court located in St. Louis, Missouri (and each appellate court located in the State of Missouri) in connection with any such Proceeding;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agrees that each state and federal court located in the State of Delaware or the Eastern District of Missouri, will be deemed to be a convenient forum;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agrees not to assert (by way of motion, as a defense or otherwise), in any such Proceeding commenced in any state or federal court located in the State of Delaware or the Eastern District of Missouri, any claim that such Party is not subject personally to the jurisdiction of such court, that such Proceeding has been brought in an inconvenient forum, that the venue of such Proceeding is improper or that this Agreement or the subject matter of this Agreement may not be enforced in or by such court.</w:t>
      </w:r>
    </w:p>
    <w:p>
      <w:pPr>
        <w:pStyle w:val="TextBody"/>
        <w:bidi w:val="0"/>
        <w:spacing w:before="0" w:after="0"/>
        <w:ind w:left="0" w:right="0" w:firstLine="720"/>
        <w:jc w:val="both"/>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-59-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u w:val="single"/>
        </w:rPr>
        <w:t>WAIVER OF JURY TRIAL</w:t>
      </w:r>
      <w:r>
        <w:rPr>
          <w:rFonts w:ascii="Times New Roman;Times;Serif" w:hAnsi="Times New Roman;Times;Serif"/>
          <w:b w:val="false"/>
          <w:i w:val="false"/>
          <w:caps w:val="false"/>
          <w:smallCaps w:val="false"/>
          <w:sz w:val="20"/>
        </w:rPr>
        <w:t>. EACH OF THE PARTIES HEREBY IRREVOCABLY WAIVES TO THE FULLEST EXTENT PERMITTED BY APPLICABLE LAW ALL RIGHT TO TRIAL BY JURY AND ANY ACTION, PROCEEDING OR COUNTERCLAIM (WHETHER BASED ON CONTRACT, TORT, OR OTHERWISE) ARISING OUT OF OR RELATING TO THIS AGREEMENT OR THE ACTIONS OF ANY PARTY IN NEGOTIATION, ADMINISTRATION, PERFORMANCE OR ENFORCEMENT TO THIS AGREEMENT. EACH PARTY (i) CERTIFIES THAT NO REPRESENTATIVE, AGENT OR ATTORNEY OF ANY OTHER PARTY HAS REPRESENTED, EXPRESSLY OR OTHERWISE, THAT SUCH OTHER PARTY WOULD NOT, IN THE EVENT OF LITIGATION, SEEK TO ENFORCE THE FOREGOING WAIVER; (ii) UNDERSTANDS AND HAS CONSIDERED THE IMPLICATIONS OF THIS WAIVER; (iii) MAKES THIS WAIVER VOLUNTARILY; AND (iv) ACKNOWLEDGES THAT IT AND THE OTHER PARTIES HAVE BEEN INDUCED TO ENTER INTO THIS AGREEMENT BY, AMONG OTHER THINGS, THE MUTUAL WAIVERS AND CERTIFICATIONS IN THIS Section 10.10.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10.11. </w:t>
      </w:r>
      <w:r>
        <w:rPr>
          <w:rFonts w:ascii="Times New Roman;Times;Serif" w:hAnsi="Times New Roman;Times;Serif"/>
          <w:b w:val="false"/>
          <w:i/>
          <w:caps w:val="false"/>
          <w:smallCaps w:val="false"/>
          <w:sz w:val="20"/>
        </w:rPr>
        <w:t>Enforcement</w:t>
      </w:r>
      <w:r>
        <w:rPr>
          <w:rFonts w:ascii="Times New Roman;Times;Serif" w:hAnsi="Times New Roman;Times;Serif"/>
          <w:b w:val="false"/>
          <w:i w:val="false"/>
          <w:caps w:val="false"/>
          <w:smallCaps w:val="false"/>
          <w:sz w:val="20"/>
        </w:rPr>
        <w:t>. The Parties agree that irreparable damage would occur in the event that any of the provisions of this Agreement were not performed in accordance with their specific terms or were otherwise breached. It is accordingly agreed that the Parties shall be entitled to an injunction or injunctions, or other equitable relief, to prevent breaches of this Agreement and to enforce specifically the terms and provisions of this Agreement, this being in addition to any other remedy to which they are entitled at law or in equity.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10.12. </w:t>
      </w:r>
      <w:r>
        <w:rPr>
          <w:rFonts w:ascii="Times New Roman;Times;Serif" w:hAnsi="Times New Roman;Times;Serif"/>
          <w:b w:val="false"/>
          <w:i/>
          <w:caps w:val="false"/>
          <w:smallCaps w:val="false"/>
          <w:sz w:val="20"/>
        </w:rPr>
        <w:t>Extension; Waiver</w:t>
      </w:r>
      <w:r>
        <w:rPr>
          <w:rFonts w:ascii="Times New Roman;Times;Serif" w:hAnsi="Times New Roman;Times;Serif"/>
          <w:b w:val="false"/>
          <w:i w:val="false"/>
          <w:caps w:val="false"/>
          <w:smallCaps w:val="false"/>
          <w:sz w:val="20"/>
        </w:rPr>
        <w:t>. At any time prior to the Closing, Purchaser may, in its sole discretion, (a) extend the time for the performance of any of the obligations or other acts of the Sellers or Company, (b) waive any inaccuracies in the representations and warranties of the Sellers or Company contained in this Agreement or in any document delivered pursuant to this Agreement or (c) waive compliance by the Sellers or Company with any of the agreements or conditions contained in this Agreement. Any extension or waiver by Sellers or Company of Purchaser’s obligations shall require Purchaser’s prior written consent. Any agreement on the part of a Party to any such extension or waiver shall be valid only if set forth in an instrument in writing signed on behalf of such Party. The failure of any Party to assert any of its rights under this Agreement or otherwise shall not constitute a waiver of those rights.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10.13. </w:t>
      </w:r>
      <w:r>
        <w:rPr>
          <w:rFonts w:ascii="Times New Roman;Times;Serif" w:hAnsi="Times New Roman;Times;Serif"/>
          <w:b w:val="false"/>
          <w:i/>
          <w:caps w:val="false"/>
          <w:smallCaps w:val="false"/>
          <w:sz w:val="20"/>
        </w:rPr>
        <w:t xml:space="preserve">Assignment. </w:t>
      </w:r>
      <w:r>
        <w:rPr>
          <w:rFonts w:ascii="Times New Roman;Times;Serif" w:hAnsi="Times New Roman;Times;Serif"/>
          <w:b w:val="false"/>
          <w:i w:val="false"/>
          <w:caps w:val="false"/>
          <w:smallCaps w:val="false"/>
          <w:sz w:val="20"/>
        </w:rPr>
        <w:t>Neither this Agreement nor any of the rights, interests or obligations hereunder shall be assigned by any of the Parties (whether by operation of applicable Legal Requirement or otherwise) in a manner other than as provided in Section 10.3 or without the prior written consent of the other Parties to this Agreement, which consent shall not be unreasonably withheld, conditioned, or delayed; provided, however, that Purchaser may assign this Agreement and its rights hereunder to any of its Affiliates or to any entity that acquires all or substantially all of the assets or equity of Purchaser without the consent of any other Party. Subject to the preceding sentence, this Agreement will be binding upon, inure to the benefit of and be enforceable by the Parties and their respective successors and assigns.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10.14. </w:t>
      </w:r>
      <w:r>
        <w:rPr>
          <w:rFonts w:ascii="Times New Roman;Times;Serif" w:hAnsi="Times New Roman;Times;Serif"/>
          <w:b w:val="false"/>
          <w:i/>
          <w:caps w:val="false"/>
          <w:smallCaps w:val="false"/>
          <w:sz w:val="20"/>
        </w:rPr>
        <w:t>Headings</w:t>
      </w:r>
      <w:r>
        <w:rPr>
          <w:rFonts w:ascii="Times New Roman;Times;Serif" w:hAnsi="Times New Roman;Times;Serif"/>
          <w:b w:val="false"/>
          <w:i w:val="false"/>
          <w:caps w:val="false"/>
          <w:smallCaps w:val="false"/>
          <w:sz w:val="20"/>
        </w:rPr>
        <w:t>. The underlined headings contained in this Agreement are for convenience of reference only, shall not be deemed to be a part of this Agreement and shall not be referred to in connection with the construction or interpretation of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10.15. </w:t>
      </w:r>
      <w:r>
        <w:rPr>
          <w:rFonts w:ascii="Times New Roman;Times;Serif" w:hAnsi="Times New Roman;Times;Serif"/>
          <w:b w:val="false"/>
          <w:i/>
          <w:caps w:val="false"/>
          <w:smallCaps w:val="false"/>
          <w:sz w:val="20"/>
        </w:rPr>
        <w:t>Days</w:t>
      </w:r>
      <w:r>
        <w:rPr>
          <w:rFonts w:ascii="Times New Roman;Times;Serif" w:hAnsi="Times New Roman;Times;Serif"/>
          <w:b w:val="false"/>
          <w:i w:val="false"/>
          <w:caps w:val="false"/>
          <w:smallCaps w:val="false"/>
          <w:sz w:val="20"/>
        </w:rPr>
        <w:t>. Except as otherwise required by applicable Legal Requirement, if any action is required to be performed, or if any notice, consent or other communication is given, on a day that is a Saturday or Sunday or a legal United States federal holiday, such performance shall be deemed to be required, and such notice, consent or other communication shall be deemed to be given, on the first Business Day following such Saturday, Sunday or legal holiday. Unless otherwise specified in this Agreement, all references in this Agreement to a “day” or “days” shall refer to calendar days and not Business Days.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Signatures on following pages.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-60-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each of Purchaser, Company, Sellers and Manager have caused this Agreement to be signed by its duly authorized officer as of the date first written above.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PURCHASER</w:t>
      </w:r>
    </w:p>
    <w:p>
      <w:pPr>
        <w:pStyle w:val="TextBody"/>
        <w:bidi w:val="0"/>
        <w:spacing w:before="0" w:after="0"/>
        <w:jc w:val="center"/>
        <w:rPr>
          <w:caps w:val="false"/>
          <w:smallCaps w:val="false"/>
        </w:rPr>
      </w:pPr>
      <w:r>
        <w:rPr>
          <w:caps w:val="false"/>
          <w:smallCaps w:val="false"/>
        </w:rPr>
        <w:t> </w:t>
      </w:r>
    </w:p>
    <w:tbl>
      <w:tblPr>
        <w:tblW w:w="4180" w:type="dxa"/>
        <w:jc w:val="left"/>
        <w:tblInd w:w="0" w:type="dxa"/>
        <w:tblLayout w:type="fixed"/>
        <w:tblCellMar>
          <w:top w:w="0" w:type="dxa"/>
          <w:left w:w="0" w:type="dxa"/>
          <w:bottom w:w="0" w:type="dxa"/>
          <w:right w:w="0" w:type="dxa"/>
        </w:tblCellMar>
      </w:tblPr>
      <w:tblGrid>
        <w:gridCol w:w="2720"/>
        <w:gridCol w:w="60"/>
        <w:gridCol w:w="1400"/>
      </w:tblGrid>
      <w:tr>
        <w:trPr/>
        <w:tc>
          <w:tcPr>
            <w:tcW w:w="27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STEREOTAXIS INC.</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4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72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4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7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Represented by</w:t>
            </w:r>
            <w:r>
              <w:rPr>
                <w:rFonts w:ascii="Times New Roman;Times;Serif" w:hAnsi="Times New Roman;Times;Serif"/>
                <w:b w:val="false"/>
                <w:i w:val="false"/>
                <w:caps w:val="false"/>
                <w:smallCaps w:val="false"/>
                <w:sz w:val="20"/>
              </w:rPr>
              <w:t>: David FISCHEL</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40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David Fischel</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COMPANY</w:t>
      </w:r>
    </w:p>
    <w:p>
      <w:pPr>
        <w:pStyle w:val="TextBody"/>
        <w:bidi w:val="0"/>
        <w:spacing w:before="0" w:after="0"/>
        <w:jc w:val="center"/>
        <w:rPr>
          <w:caps w:val="false"/>
          <w:smallCaps w:val="false"/>
        </w:rPr>
      </w:pPr>
      <w:r>
        <w:rPr>
          <w:caps w:val="false"/>
          <w:smallCaps w:val="false"/>
        </w:rPr>
        <w:t> </w:t>
      </w:r>
    </w:p>
    <w:tbl>
      <w:tblPr>
        <w:tblW w:w="4765" w:type="dxa"/>
        <w:jc w:val="left"/>
        <w:tblInd w:w="0" w:type="dxa"/>
        <w:tblLayout w:type="fixed"/>
        <w:tblCellMar>
          <w:top w:w="0" w:type="dxa"/>
          <w:left w:w="0" w:type="dxa"/>
          <w:bottom w:w="0" w:type="dxa"/>
          <w:right w:w="0" w:type="dxa"/>
        </w:tblCellMar>
      </w:tblPr>
      <w:tblGrid>
        <w:gridCol w:w="2915"/>
        <w:gridCol w:w="60"/>
        <w:gridCol w:w="1790"/>
      </w:tblGrid>
      <w:tr>
        <w:trPr/>
        <w:tc>
          <w:tcPr>
            <w:tcW w:w="29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ROBOCATH</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9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91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9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9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Represented by</w:t>
            </w:r>
            <w:r>
              <w:rPr>
                <w:rFonts w:ascii="Times New Roman;Times;Serif" w:hAnsi="Times New Roman;Times;Serif"/>
                <w:b w:val="false"/>
                <w:i w:val="false"/>
                <w:caps w:val="false"/>
                <w:smallCaps w:val="false"/>
                <w:sz w:val="20"/>
              </w:rPr>
              <w:t>: Philippe Bencteux</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9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Philippe Bencteux</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MANAGER</w:t>
      </w:r>
    </w:p>
    <w:p>
      <w:pPr>
        <w:pStyle w:val="TextBody"/>
        <w:bidi w:val="0"/>
        <w:spacing w:before="0" w:after="0"/>
        <w:jc w:val="center"/>
        <w:rPr>
          <w:caps w:val="false"/>
          <w:smallCaps w:val="false"/>
        </w:rPr>
      </w:pPr>
      <w:r>
        <w:rPr>
          <w:caps w:val="false"/>
          <w:smallCaps w:val="false"/>
        </w:rPr>
        <w:t> </w:t>
      </w:r>
    </w:p>
    <w:tbl>
      <w:tblPr>
        <w:tblW w:w="3655" w:type="dxa"/>
        <w:jc w:val="left"/>
        <w:tblInd w:w="0" w:type="dxa"/>
        <w:tblLayout w:type="fixed"/>
        <w:tblCellMar>
          <w:top w:w="0" w:type="dxa"/>
          <w:left w:w="0" w:type="dxa"/>
          <w:bottom w:w="0" w:type="dxa"/>
          <w:right w:w="0" w:type="dxa"/>
        </w:tblCellMar>
      </w:tblPr>
      <w:tblGrid>
        <w:gridCol w:w="1805"/>
        <w:gridCol w:w="60"/>
        <w:gridCol w:w="1790"/>
      </w:tblGrid>
      <w:tr>
        <w:trPr/>
        <w:tc>
          <w:tcPr>
            <w:tcW w:w="18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Philippe BENCTEUX</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9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Philippe Bencteux</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SELLERS</w:t>
      </w:r>
    </w:p>
    <w:p>
      <w:pPr>
        <w:pStyle w:val="TextBody"/>
        <w:bidi w:val="0"/>
        <w:spacing w:before="0" w:after="0"/>
        <w:jc w:val="center"/>
        <w:rPr>
          <w:caps w:val="false"/>
          <w:smallCaps w:val="false"/>
        </w:rPr>
      </w:pPr>
      <w:r>
        <w:rPr>
          <w:caps w:val="false"/>
          <w:smallCaps w:val="false"/>
        </w:rPr>
        <w:t> </w:t>
      </w:r>
    </w:p>
    <w:tbl>
      <w:tblPr>
        <w:tblW w:w="6865" w:type="dxa"/>
        <w:jc w:val="left"/>
        <w:tblInd w:w="0" w:type="dxa"/>
        <w:tblLayout w:type="fixed"/>
        <w:tblCellMar>
          <w:top w:w="0" w:type="dxa"/>
          <w:left w:w="0" w:type="dxa"/>
          <w:bottom w:w="0" w:type="dxa"/>
          <w:right w:w="0" w:type="dxa"/>
        </w:tblCellMar>
      </w:tblPr>
      <w:tblGrid>
        <w:gridCol w:w="5015"/>
        <w:gridCol w:w="60"/>
        <w:gridCol w:w="1790"/>
      </w:tblGrid>
      <w:tr>
        <w:trPr/>
        <w:tc>
          <w:tcPr>
            <w:tcW w:w="50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Philippe BENCTEUX</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9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Philippe Bencteux</w:t>
            </w:r>
          </w:p>
        </w:tc>
      </w:tr>
      <w:tr>
        <w:trPr/>
        <w:tc>
          <w:tcPr>
            <w:tcW w:w="501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9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0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 Developpment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9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01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9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0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Alain Foubert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9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01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9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0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Automobiles Leroux &amp; Fils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9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01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9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0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Cardio Participations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9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01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9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0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CEN Innovation</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9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01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9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0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Clementine Liard</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9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01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9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0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Credit Agricole Innove En Normandie SAS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9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01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9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0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CS Group (Holding) Ltd.</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9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01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9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0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David Leray</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9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01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9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0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Dominique Destriez</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9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01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9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0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Dominique Leroy</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9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01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9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0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Erwan-Olivier Le Couillard (Indivision Jacques Le Couillard)</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9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01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9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0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FactoGeo</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9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01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9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0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FCPI Sante Et Digital I</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90"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283"/>
              <w:jc w:val="center"/>
              <w:rPr/>
            </w:pPr>
            <w:r>
              <w:rPr/>
              <w:t>-1-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4790" w:type="dxa"/>
        <w:jc w:val="left"/>
        <w:tblInd w:w="0" w:type="dxa"/>
        <w:tblLayout w:type="fixed"/>
        <w:tblCellMar>
          <w:top w:w="0" w:type="dxa"/>
          <w:left w:w="0" w:type="dxa"/>
          <w:bottom w:w="0" w:type="dxa"/>
          <w:right w:w="0" w:type="dxa"/>
        </w:tblCellMar>
      </w:tblPr>
      <w:tblGrid>
        <w:gridCol w:w="4655"/>
        <w:gridCol w:w="60"/>
        <w:gridCol w:w="75"/>
      </w:tblGrid>
      <w:tr>
        <w:trPr/>
        <w:tc>
          <w:tcPr>
            <w:tcW w:w="46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FCPI Sante Et Digital II</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65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6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FCPR W PME Multistrategies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65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6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Financiere Furstenfeld</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65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6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FPCI Go Capital Amorcage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65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6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Francis Labrunye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65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6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Franck Martin</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65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6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Frederic Chapron</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65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6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Gerard Ducourret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65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6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Gerard Georgeault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65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6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Huguette Guerin</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65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6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J.M.J.</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65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6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Jacques Delfosse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65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6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Jacques Hubert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65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6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LBLI</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65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6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LDLH</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65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6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 (Rocky) Shen</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65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6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Marianne Le Couillard (Indivision Jacques Le Coulliard)</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65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6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Michel Rault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65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6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Microport Medical China Corp. Limited</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65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6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NEDEIS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65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6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Nelly Le Couillard (Indivision Jacques Le Couillard)</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65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6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Nicolas Buquet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65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6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Objectif Innovation 10</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65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6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Objectif Innovation 63</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65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6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Roger Marc Pouget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65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6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Sebastien Deboeuf</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283"/>
              <w:jc w:val="center"/>
              <w:rPr/>
            </w:pPr>
            <w:r>
              <w:rPr/>
              <w:t>-2-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9655" w:type="dxa"/>
        <w:jc w:val="left"/>
        <w:tblInd w:w="0" w:type="dxa"/>
        <w:tblLayout w:type="fixed"/>
        <w:tblCellMar>
          <w:top w:w="0" w:type="dxa"/>
          <w:left w:w="0" w:type="dxa"/>
          <w:bottom w:w="0" w:type="dxa"/>
          <w:right w:w="0" w:type="dxa"/>
        </w:tblCellMar>
      </w:tblPr>
      <w:tblGrid>
        <w:gridCol w:w="7145"/>
        <w:gridCol w:w="60"/>
        <w:gridCol w:w="2450"/>
      </w:tblGrid>
      <w:tr>
        <w:trPr/>
        <w:tc>
          <w:tcPr>
            <w:tcW w:w="71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SOFINEL</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45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14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45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1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ZHEJIANG SILKROAD INDUSTRIAL INVESTMENT FUND LIMITED PARTNERSHIP</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45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14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45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1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Represented by:</w:t>
            </w:r>
            <w:r>
              <w:rPr>
                <w:rFonts w:ascii="Times New Roman;Times;Serif" w:hAnsi="Times New Roman;Times;Serif"/>
                <w:b w:val="false"/>
                <w:i w:val="false"/>
                <w:caps w:val="false"/>
                <w:smallCaps w:val="false"/>
                <w:sz w:val="20"/>
              </w:rPr>
              <w:t xml:space="preserve"> Philippe Bencteux</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45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Philippe Bencteux</w:t>
            </w:r>
          </w:p>
        </w:tc>
      </w:tr>
      <w:tr>
        <w:trPr/>
        <w:tc>
          <w:tcPr>
            <w:tcW w:w="714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45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1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Credit Agricole Innovations &amp; Territoires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45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14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45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1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FCPI Amundi Avenir Innovation</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45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14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45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1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Unexo Capital</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45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14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45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1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Represented by:</w:t>
            </w:r>
            <w:r>
              <w:rPr>
                <w:rFonts w:ascii="Times New Roman;Times;Serif" w:hAnsi="Times New Roman;Times;Serif"/>
                <w:b w:val="false"/>
                <w:i w:val="false"/>
                <w:caps w:val="false"/>
                <w:smallCaps w:val="false"/>
                <w:sz w:val="20"/>
              </w:rPr>
              <w:t xml:space="preserve"> Pierre-Emmanuel Struyven</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45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Pierre-Emmanuel Struyven</w:t>
            </w:r>
          </w:p>
        </w:tc>
      </w:tr>
      <w:tr>
        <w:trPr/>
        <w:tc>
          <w:tcPr>
            <w:tcW w:w="714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45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1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FCPI Croissance Et Proximite 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45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14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45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1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Waterstart Capital</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45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14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45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1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Represented by:</w:t>
            </w:r>
            <w:r>
              <w:rPr>
                <w:rFonts w:ascii="Times New Roman;Times;Serif" w:hAnsi="Times New Roman;Times;Serif"/>
                <w:b w:val="false"/>
                <w:i w:val="false"/>
                <w:caps w:val="false"/>
                <w:smallCaps w:val="false"/>
                <w:sz w:val="20"/>
              </w:rPr>
              <w:t xml:space="preserve"> Yves Guiol</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45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Yves Guiol</w:t>
            </w:r>
          </w:p>
        </w:tc>
      </w:tr>
      <w:tr>
        <w:trPr/>
        <w:tc>
          <w:tcPr>
            <w:tcW w:w="714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45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1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Normandie Participations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45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14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45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1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Represented by:</w:t>
            </w:r>
            <w:r>
              <w:rPr>
                <w:rFonts w:ascii="Times New Roman;Times;Serif" w:hAnsi="Times New Roman;Times;Serif"/>
                <w:b w:val="false"/>
                <w:i w:val="false"/>
                <w:caps w:val="false"/>
                <w:smallCaps w:val="false"/>
                <w:sz w:val="20"/>
              </w:rPr>
              <w:t xml:space="preserve"> Arthur Duwiquet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45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Arthur Duwiquet</w:t>
            </w:r>
          </w:p>
        </w:tc>
      </w:tr>
      <w:tr>
        <w:trPr/>
        <w:tc>
          <w:tcPr>
            <w:tcW w:w="714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45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1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Trefoil Investments S.A.R.L.</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45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14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45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1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Tuspark Technology Investment Europe S.A.R.L.</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45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14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45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1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Represented by:</w:t>
            </w:r>
            <w:r>
              <w:rPr>
                <w:rFonts w:ascii="Times New Roman;Times;Serif" w:hAnsi="Times New Roman;Times;Serif"/>
                <w:b w:val="false"/>
                <w:i w:val="false"/>
                <w:caps w:val="false"/>
                <w:smallCaps w:val="false"/>
                <w:sz w:val="20"/>
              </w:rPr>
              <w:t xml:space="preserve"> Wang Dexiang</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45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Wang Dexiang</w:t>
            </w:r>
          </w:p>
        </w:tc>
      </w:tr>
    </w:tbl>
    <w:p>
      <w:pPr>
        <w:pStyle w:val="TextBody"/>
        <w:bidi w:val="0"/>
        <w:spacing w:before="0" w:after="0"/>
        <w:ind w:left="0" w:right="0" w:hanging="0"/>
        <w:jc w:val="both"/>
        <w:rPr>
          <w:caps w:val="false"/>
          <w:smallCaps w:val="false"/>
        </w:rPr>
      </w:pPr>
      <w:r>
        <w:rPr>
          <w:caps w:val="false"/>
          <w:smallCaps w:val="false"/>
        </w:rPr>
        <w:t>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283"/>
              <w:jc w:val="center"/>
              <w:rPr/>
            </w:pPr>
            <w:r>
              <w:rPr/>
              <w:t>-3-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SCHEDULES / EXHIBITS</w:t>
      </w:r>
    </w:p>
    <w:p>
      <w:pPr>
        <w:pStyle w:val="TextBody"/>
        <w:bidi w:val="0"/>
        <w:spacing w:before="0" w:after="0"/>
        <w:ind w:left="810" w:right="0" w:hanging="810"/>
        <w:jc w:val="center"/>
        <w:rPr>
          <w:caps w:val="false"/>
          <w:smallCaps w:val="false"/>
        </w:rPr>
      </w:pPr>
      <w:r>
        <w:rPr>
          <w:caps w:val="false"/>
          <w:smallCaps w:val="false"/>
        </w:rPr>
        <w:t> </w:t>
      </w:r>
    </w:p>
    <w:tbl>
      <w:tblPr>
        <w:tblW w:w="8020" w:type="dxa"/>
        <w:jc w:val="left"/>
        <w:tblInd w:w="0" w:type="dxa"/>
        <w:tblLayout w:type="fixed"/>
        <w:tblCellMar>
          <w:top w:w="0" w:type="dxa"/>
          <w:left w:w="0" w:type="dxa"/>
          <w:bottom w:w="0" w:type="dxa"/>
          <w:right w:w="0" w:type="dxa"/>
        </w:tblCellMar>
      </w:tblPr>
      <w:tblGrid>
        <w:gridCol w:w="1730"/>
        <w:gridCol w:w="60"/>
        <w:gridCol w:w="6230"/>
      </w:tblGrid>
      <w:tr>
        <w:trPr/>
        <w:tc>
          <w:tcPr>
            <w:tcW w:w="17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APPENDIX </w:t>
            </w:r>
            <w:r>
              <w:rPr>
                <w:rFonts w:ascii="Times New Roman;Times;Serif" w:hAnsi="Times New Roman;Times;Serif"/>
                <w:b w:val="false"/>
                <w:i w:val="false"/>
                <w:caps w:val="false"/>
                <w:smallCaps w:val="false"/>
                <w:spacing w:val="-1"/>
                <w:sz w:val="20"/>
              </w:rPr>
              <w:t>(A)</w:t>
            </w:r>
          </w:p>
        </w:tc>
        <w:tc>
          <w:tcPr>
            <w:tcW w:w="60" w:type="dxa"/>
            <w:tcBorders/>
            <w:vAlign w:val="center"/>
          </w:tcPr>
          <w:p>
            <w:pPr>
              <w:pStyle w:val="TableContents"/>
              <w:bidi w:val="0"/>
              <w:spacing w:before="0" w:after="283"/>
              <w:jc w:val="left"/>
              <w:rPr/>
            </w:pPr>
            <w:r>
              <w:rPr/>
              <w:t> </w:t>
            </w:r>
          </w:p>
        </w:tc>
        <w:tc>
          <w:tcPr>
            <w:tcW w:w="6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Definitions</w:t>
            </w:r>
          </w:p>
        </w:tc>
      </w:tr>
      <w:tr>
        <w:trPr/>
        <w:tc>
          <w:tcPr>
            <w:tcW w:w="173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623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7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APPENDIX (C)</w:t>
            </w:r>
          </w:p>
        </w:tc>
        <w:tc>
          <w:tcPr>
            <w:tcW w:w="60" w:type="dxa"/>
            <w:tcBorders/>
            <w:vAlign w:val="center"/>
          </w:tcPr>
          <w:p>
            <w:pPr>
              <w:pStyle w:val="TableContents"/>
              <w:bidi w:val="0"/>
              <w:spacing w:before="0" w:after="283"/>
              <w:jc w:val="left"/>
              <w:rPr/>
            </w:pPr>
            <w:r>
              <w:rPr/>
              <w:t> </w:t>
            </w:r>
          </w:p>
        </w:tc>
        <w:tc>
          <w:tcPr>
            <w:tcW w:w="6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Illustrative example of the calculation of Indebtedness and Working Capital</w:t>
            </w:r>
          </w:p>
        </w:tc>
      </w:tr>
      <w:tr>
        <w:trPr/>
        <w:tc>
          <w:tcPr>
            <w:tcW w:w="173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623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7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(A)</w:t>
            </w:r>
          </w:p>
        </w:tc>
        <w:tc>
          <w:tcPr>
            <w:tcW w:w="60" w:type="dxa"/>
            <w:tcBorders/>
            <w:vAlign w:val="center"/>
          </w:tcPr>
          <w:p>
            <w:pPr>
              <w:pStyle w:val="TableContents"/>
              <w:bidi w:val="0"/>
              <w:spacing w:before="0" w:after="283"/>
              <w:jc w:val="left"/>
              <w:rPr/>
            </w:pPr>
            <w:r>
              <w:rPr/>
              <w:t> </w:t>
            </w:r>
          </w:p>
        </w:tc>
        <w:tc>
          <w:tcPr>
            <w:tcW w:w="6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List of Company’s shareholders</w:t>
            </w:r>
          </w:p>
        </w:tc>
      </w:tr>
      <w:tr>
        <w:trPr/>
        <w:tc>
          <w:tcPr>
            <w:tcW w:w="173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623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7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(B)</w:t>
            </w:r>
          </w:p>
        </w:tc>
        <w:tc>
          <w:tcPr>
            <w:tcW w:w="60" w:type="dxa"/>
            <w:tcBorders/>
            <w:vAlign w:val="center"/>
          </w:tcPr>
          <w:p>
            <w:pPr>
              <w:pStyle w:val="TableContents"/>
              <w:bidi w:val="0"/>
              <w:spacing w:before="0" w:after="283"/>
              <w:jc w:val="left"/>
              <w:rPr/>
            </w:pPr>
            <w:r>
              <w:rPr/>
              <w:t> </w:t>
            </w:r>
          </w:p>
        </w:tc>
        <w:tc>
          <w:tcPr>
            <w:tcW w:w="6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Company Capitalization Table</w:t>
            </w:r>
          </w:p>
        </w:tc>
      </w:tr>
      <w:tr>
        <w:trPr/>
        <w:tc>
          <w:tcPr>
            <w:tcW w:w="173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623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7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1.2(b)</w:t>
            </w:r>
          </w:p>
        </w:tc>
        <w:tc>
          <w:tcPr>
            <w:tcW w:w="60" w:type="dxa"/>
            <w:tcBorders/>
            <w:vAlign w:val="center"/>
          </w:tcPr>
          <w:p>
            <w:pPr>
              <w:pStyle w:val="TableContents"/>
              <w:bidi w:val="0"/>
              <w:spacing w:before="0" w:after="283"/>
              <w:jc w:val="left"/>
              <w:rPr/>
            </w:pPr>
            <w:r>
              <w:rPr/>
              <w:t> </w:t>
            </w:r>
          </w:p>
        </w:tc>
        <w:tc>
          <w:tcPr>
            <w:tcW w:w="6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Purchaser Warrants Terms</w:t>
            </w:r>
          </w:p>
        </w:tc>
      </w:tr>
      <w:tr>
        <w:trPr/>
        <w:tc>
          <w:tcPr>
            <w:tcW w:w="173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623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7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1.7</w:t>
            </w:r>
          </w:p>
        </w:tc>
        <w:tc>
          <w:tcPr>
            <w:tcW w:w="60" w:type="dxa"/>
            <w:tcBorders/>
            <w:vAlign w:val="center"/>
          </w:tcPr>
          <w:p>
            <w:pPr>
              <w:pStyle w:val="TableContents"/>
              <w:bidi w:val="0"/>
              <w:spacing w:before="0" w:after="283"/>
              <w:jc w:val="left"/>
              <w:rPr/>
            </w:pPr>
            <w:r>
              <w:rPr/>
              <w:t> </w:t>
            </w:r>
          </w:p>
        </w:tc>
        <w:tc>
          <w:tcPr>
            <w:tcW w:w="6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List of JV Agreements</w:t>
            </w:r>
          </w:p>
        </w:tc>
      </w:tr>
      <w:tr>
        <w:trPr/>
        <w:tc>
          <w:tcPr>
            <w:tcW w:w="173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623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7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2.2(b)(iv)</w:t>
            </w:r>
          </w:p>
        </w:tc>
        <w:tc>
          <w:tcPr>
            <w:tcW w:w="60" w:type="dxa"/>
            <w:tcBorders/>
            <w:vAlign w:val="center"/>
          </w:tcPr>
          <w:p>
            <w:pPr>
              <w:pStyle w:val="TableContents"/>
              <w:bidi w:val="0"/>
              <w:spacing w:before="0" w:after="283"/>
              <w:jc w:val="left"/>
              <w:rPr/>
            </w:pPr>
            <w:r>
              <w:rPr/>
              <w:t> </w:t>
            </w:r>
          </w:p>
        </w:tc>
        <w:tc>
          <w:tcPr>
            <w:tcW w:w="6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List of officers and directors of Company whose functions will be terminated</w:t>
            </w:r>
          </w:p>
        </w:tc>
      </w:tr>
      <w:tr>
        <w:trPr/>
        <w:tc>
          <w:tcPr>
            <w:tcW w:w="173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623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7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2.2(b)(viii)</w:t>
            </w:r>
          </w:p>
        </w:tc>
        <w:tc>
          <w:tcPr>
            <w:tcW w:w="60" w:type="dxa"/>
            <w:tcBorders/>
            <w:vAlign w:val="center"/>
          </w:tcPr>
          <w:p>
            <w:pPr>
              <w:pStyle w:val="TableContents"/>
              <w:bidi w:val="0"/>
              <w:spacing w:before="0" w:after="283"/>
              <w:jc w:val="left"/>
              <w:rPr/>
            </w:pPr>
            <w:r>
              <w:rPr/>
              <w:t> </w:t>
            </w:r>
          </w:p>
        </w:tc>
        <w:tc>
          <w:tcPr>
            <w:tcW w:w="6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List of pre-Closing covenants</w:t>
            </w:r>
          </w:p>
        </w:tc>
      </w:tr>
      <w:tr>
        <w:trPr/>
        <w:tc>
          <w:tcPr>
            <w:tcW w:w="173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623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7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2.2(b)(ix)</w:t>
            </w:r>
          </w:p>
        </w:tc>
        <w:tc>
          <w:tcPr>
            <w:tcW w:w="60" w:type="dxa"/>
            <w:tcBorders/>
            <w:vAlign w:val="center"/>
          </w:tcPr>
          <w:p>
            <w:pPr>
              <w:pStyle w:val="TableContents"/>
              <w:bidi w:val="0"/>
              <w:spacing w:before="0" w:after="283"/>
              <w:jc w:val="left"/>
              <w:rPr/>
            </w:pPr>
            <w:r>
              <w:rPr/>
              <w:t> </w:t>
            </w:r>
          </w:p>
        </w:tc>
        <w:tc>
          <w:tcPr>
            <w:tcW w:w="6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Sellers Bring Down Certificate</w:t>
            </w:r>
          </w:p>
        </w:tc>
      </w:tr>
      <w:tr>
        <w:trPr/>
        <w:tc>
          <w:tcPr>
            <w:tcW w:w="173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623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7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6.1</w:t>
            </w:r>
          </w:p>
        </w:tc>
        <w:tc>
          <w:tcPr>
            <w:tcW w:w="60" w:type="dxa"/>
            <w:tcBorders/>
            <w:vAlign w:val="center"/>
          </w:tcPr>
          <w:p>
            <w:pPr>
              <w:pStyle w:val="TableContents"/>
              <w:bidi w:val="0"/>
              <w:spacing w:before="0" w:after="283"/>
              <w:jc w:val="left"/>
              <w:rPr/>
            </w:pPr>
            <w:r>
              <w:rPr/>
              <w:t> </w:t>
            </w:r>
          </w:p>
        </w:tc>
        <w:tc>
          <w:tcPr>
            <w:tcW w:w="6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Approved Q2 Budget</w:t>
            </w:r>
          </w:p>
        </w:tc>
      </w:tr>
      <w:tr>
        <w:trPr/>
        <w:tc>
          <w:tcPr>
            <w:tcW w:w="173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623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7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6.11</w:t>
            </w:r>
          </w:p>
        </w:tc>
        <w:tc>
          <w:tcPr>
            <w:tcW w:w="60" w:type="dxa"/>
            <w:tcBorders/>
            <w:vAlign w:val="center"/>
          </w:tcPr>
          <w:p>
            <w:pPr>
              <w:pStyle w:val="TableContents"/>
              <w:bidi w:val="0"/>
              <w:spacing w:before="0" w:after="283"/>
              <w:jc w:val="left"/>
              <w:rPr/>
            </w:pPr>
            <w:r>
              <w:rPr/>
              <w:t> </w:t>
            </w:r>
          </w:p>
        </w:tc>
        <w:tc>
          <w:tcPr>
            <w:tcW w:w="6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Resale Organization Agreement</w:t>
            </w:r>
          </w:p>
        </w:tc>
      </w:tr>
      <w:tr>
        <w:trPr/>
        <w:tc>
          <w:tcPr>
            <w:tcW w:w="173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623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7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6.12</w:t>
            </w:r>
          </w:p>
        </w:tc>
        <w:tc>
          <w:tcPr>
            <w:tcW w:w="60" w:type="dxa"/>
            <w:tcBorders/>
            <w:vAlign w:val="center"/>
          </w:tcPr>
          <w:p>
            <w:pPr>
              <w:pStyle w:val="TableContents"/>
              <w:bidi w:val="0"/>
              <w:spacing w:before="0" w:after="283"/>
              <w:jc w:val="left"/>
              <w:rPr/>
            </w:pPr>
            <w:r>
              <w:rPr/>
              <w:t> </w:t>
            </w:r>
          </w:p>
        </w:tc>
        <w:tc>
          <w:tcPr>
            <w:tcW w:w="6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Bond Terms</w:t>
            </w:r>
          </w:p>
        </w:tc>
      </w:tr>
      <w:tr>
        <w:trPr/>
        <w:tc>
          <w:tcPr>
            <w:tcW w:w="173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623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7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7.2(e)</w:t>
            </w:r>
          </w:p>
        </w:tc>
        <w:tc>
          <w:tcPr>
            <w:tcW w:w="60" w:type="dxa"/>
            <w:tcBorders/>
            <w:vAlign w:val="center"/>
          </w:tcPr>
          <w:p>
            <w:pPr>
              <w:pStyle w:val="TableContents"/>
              <w:bidi w:val="0"/>
              <w:spacing w:before="0" w:after="283"/>
              <w:jc w:val="left"/>
              <w:rPr/>
            </w:pPr>
            <w:r>
              <w:rPr/>
              <w:t> </w:t>
            </w:r>
          </w:p>
        </w:tc>
        <w:tc>
          <w:tcPr>
            <w:tcW w:w="6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Terms of Debt Restructuring</w:t>
            </w:r>
          </w:p>
        </w:tc>
      </w:tr>
      <w:tr>
        <w:trPr/>
        <w:tc>
          <w:tcPr>
            <w:tcW w:w="173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623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7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10.3</w:t>
            </w:r>
          </w:p>
        </w:tc>
        <w:tc>
          <w:tcPr>
            <w:tcW w:w="60" w:type="dxa"/>
            <w:tcBorders/>
            <w:vAlign w:val="center"/>
          </w:tcPr>
          <w:p>
            <w:pPr>
              <w:pStyle w:val="TableContents"/>
              <w:bidi w:val="0"/>
              <w:spacing w:before="0" w:after="283"/>
              <w:jc w:val="left"/>
              <w:rPr/>
            </w:pPr>
            <w:r>
              <w:rPr/>
              <w:t> </w:t>
            </w:r>
          </w:p>
        </w:tc>
        <w:tc>
          <w:tcPr>
            <w:tcW w:w="6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Deed of Adherence</w:t>
            </w:r>
          </w:p>
        </w:tc>
      </w:tr>
      <w:tr>
        <w:trPr/>
        <w:tc>
          <w:tcPr>
            <w:tcW w:w="173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623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7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10.3(b)</w:t>
            </w:r>
          </w:p>
        </w:tc>
        <w:tc>
          <w:tcPr>
            <w:tcW w:w="60" w:type="dxa"/>
            <w:tcBorders/>
            <w:vAlign w:val="center"/>
          </w:tcPr>
          <w:p>
            <w:pPr>
              <w:pStyle w:val="TableContents"/>
              <w:bidi w:val="0"/>
              <w:spacing w:before="0" w:after="283"/>
              <w:jc w:val="left"/>
              <w:rPr/>
            </w:pPr>
            <w:r>
              <w:rPr/>
              <w:t> </w:t>
            </w:r>
          </w:p>
        </w:tc>
        <w:tc>
          <w:tcPr>
            <w:tcW w:w="6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EIB Deed of Adherence</w:t>
            </w:r>
          </w:p>
        </w:tc>
      </w:tr>
      <w:tr>
        <w:trPr/>
        <w:tc>
          <w:tcPr>
            <w:tcW w:w="173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623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7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2</w:t>
            </w:r>
          </w:p>
        </w:tc>
        <w:tc>
          <w:tcPr>
            <w:tcW w:w="60" w:type="dxa"/>
            <w:tcBorders/>
            <w:vAlign w:val="center"/>
          </w:tcPr>
          <w:p>
            <w:pPr>
              <w:pStyle w:val="TableContents"/>
              <w:bidi w:val="0"/>
              <w:spacing w:before="0" w:after="283"/>
              <w:jc w:val="left"/>
              <w:rPr/>
            </w:pPr>
            <w:r>
              <w:rPr/>
              <w:t> </w:t>
            </w:r>
          </w:p>
        </w:tc>
        <w:tc>
          <w:tcPr>
            <w:tcW w:w="6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Company Disclosure Letter</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u w:val="single"/>
        </w:rPr>
      </w:pPr>
      <w:r>
        <w:rPr>
          <w:rFonts w:ascii="Times New Roman;Times;Serif" w:hAnsi="Times New Roman;Times;Serif"/>
          <w:b w:val="false"/>
          <w:i w:val="false"/>
          <w:caps/>
          <w:sz w:val="20"/>
          <w:u w:val="single"/>
        </w:rPr>
        <w:t>APPENDIX A</w:t>
      </w:r>
    </w:p>
    <w:p>
      <w:pPr>
        <w:pStyle w:val="TextBody"/>
        <w:bidi w:val="0"/>
        <w:spacing w:before="0" w:after="0"/>
        <w:jc w:val="center"/>
        <w:rPr>
          <w:caps/>
        </w:rPr>
      </w:pPr>
      <w:r>
        <w:rPr>
          <w:caps/>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DEFINITIONS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w:t>
      </w:r>
      <w:r>
        <w:rPr>
          <w:rFonts w:ascii="Times New Roman;Times;Serif" w:hAnsi="Times New Roman;Times;Serif"/>
          <w:b w:val="false"/>
          <w:i w:val="false"/>
          <w:caps w:val="false"/>
          <w:smallCaps w:val="false"/>
          <w:sz w:val="20"/>
          <w:u w:val="single"/>
        </w:rPr>
        <w:t>Accountant</w:t>
      </w:r>
      <w:r>
        <w:rPr>
          <w:rFonts w:ascii="Times New Roman;Times;Serif" w:hAnsi="Times New Roman;Times;Serif"/>
          <w:b w:val="false"/>
          <w:i w:val="false"/>
          <w:caps w:val="false"/>
          <w:smallCaps w:val="false"/>
          <w:sz w:val="20"/>
        </w:rPr>
        <w:t>” has the meaning set forth in Section 1.4(e).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w:t>
      </w:r>
      <w:r>
        <w:rPr>
          <w:rFonts w:ascii="Times New Roman;Times;Serif" w:hAnsi="Times New Roman;Times;Serif"/>
          <w:b w:val="false"/>
          <w:i w:val="false"/>
          <w:caps w:val="false"/>
          <w:smallCaps w:val="false"/>
          <w:sz w:val="20"/>
          <w:u w:val="single"/>
        </w:rPr>
        <w:t>Affiliate</w:t>
      </w:r>
      <w:r>
        <w:rPr>
          <w:rFonts w:ascii="Times New Roman;Times;Serif" w:hAnsi="Times New Roman;Times;Serif"/>
          <w:b w:val="false"/>
          <w:i w:val="false"/>
          <w:caps w:val="false"/>
          <w:smallCaps w:val="false"/>
          <w:sz w:val="20"/>
        </w:rPr>
        <w:t>” means, with respect to any Party, any Person that directly or indirectly is in control of, is controlled by, or is under common control with, such Party, including any Person who would be treated as a member of a controlled group under Section 414 of the Code and any officer or director of such Party. For purposes of this definition, an entity shall be deemed to be “controlled by” a Person if the Person possesses, directly or indirectly, power either to (i) vote ten percent (10%) or more of the securities (including convertible securities) having ordinary voting power or (ii) direct or cause the direction of the management or policies of such entity whether by Contract or otherwise; and, with respect to any Party who is a natural person, such person’s spouse, parents, siblings and lineal descendants. For the avoidance of doubt, from and after the Closing, Purchaser’s Affiliates shall include without limitation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w:t>
      </w:r>
      <w:r>
        <w:rPr>
          <w:rFonts w:ascii="Times New Roman;Times;Serif" w:hAnsi="Times New Roman;Times;Serif"/>
          <w:b w:val="false"/>
          <w:i w:val="false"/>
          <w:caps w:val="false"/>
          <w:smallCaps w:val="false"/>
          <w:sz w:val="20"/>
          <w:u w:val="single"/>
        </w:rPr>
        <w:t>Agreement</w:t>
      </w:r>
      <w:r>
        <w:rPr>
          <w:rFonts w:ascii="Times New Roman;Times;Serif" w:hAnsi="Times New Roman;Times;Serif"/>
          <w:b w:val="false"/>
          <w:i w:val="false"/>
          <w:caps w:val="false"/>
          <w:smallCaps w:val="false"/>
          <w:sz w:val="20"/>
        </w:rPr>
        <w:t>” has the meaning set forth in the Preamble.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w:t>
      </w:r>
      <w:r>
        <w:rPr>
          <w:rFonts w:ascii="Times New Roman;Times;Serif" w:hAnsi="Times New Roman;Times;Serif"/>
          <w:b w:val="false"/>
          <w:i w:val="false"/>
          <w:caps w:val="false"/>
          <w:smallCaps w:val="false"/>
          <w:sz w:val="20"/>
          <w:u w:val="single"/>
        </w:rPr>
        <w:t>Alternative Transaction</w:t>
      </w:r>
      <w:r>
        <w:rPr>
          <w:rFonts w:ascii="Times New Roman;Times;Serif" w:hAnsi="Times New Roman;Times;Serif"/>
          <w:b w:val="false"/>
          <w:i w:val="false"/>
          <w:caps w:val="false"/>
          <w:smallCaps w:val="false"/>
          <w:sz w:val="20"/>
        </w:rPr>
        <w:t>” shall mean any transaction or series of transactions (including any sale, merger, consolidation, reorganization, dividend, distribution, joint venture, share exchange or other business combination or similar transaction) involving the potential sale of capital stock or equity securities of, or merger, consolidation, combination, sale or license of assets (other than in the ordinary course or sale or replacement of any immaterial operating assets of the Company in the ordinary course), reorganization, or other similar transaction involving, the Company, other than (i) the transactions contemplated by this Agreement and (ii) any recapitalization, equity, quasi equity or debt financing.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w:t>
      </w:r>
      <w:r>
        <w:rPr>
          <w:rFonts w:ascii="Times New Roman;Times;Serif" w:hAnsi="Times New Roman;Times;Serif"/>
          <w:b w:val="false"/>
          <w:i w:val="false"/>
          <w:caps w:val="false"/>
          <w:smallCaps w:val="false"/>
          <w:sz w:val="20"/>
          <w:u w:val="single"/>
        </w:rPr>
        <w:t>Approved Q2 Budget</w:t>
      </w:r>
      <w:r>
        <w:rPr>
          <w:rFonts w:ascii="Times New Roman;Times;Serif" w:hAnsi="Times New Roman;Times;Serif"/>
          <w:b w:val="false"/>
          <w:i w:val="false"/>
          <w:caps w:val="false"/>
          <w:smallCaps w:val="false"/>
          <w:sz w:val="20"/>
        </w:rPr>
        <w:t>” has the meaning ascribed to such term in Section 6.1.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w:t>
      </w:r>
      <w:r>
        <w:rPr>
          <w:rFonts w:ascii="Times New Roman;Times;Serif" w:hAnsi="Times New Roman;Times;Serif"/>
          <w:b w:val="false"/>
          <w:i w:val="false"/>
          <w:caps w:val="false"/>
          <w:smallCaps w:val="false"/>
          <w:sz w:val="20"/>
          <w:u w:val="single"/>
        </w:rPr>
        <w:t>Benefit Plan</w:t>
      </w:r>
      <w:r>
        <w:rPr>
          <w:rFonts w:ascii="Times New Roman;Times;Serif" w:hAnsi="Times New Roman;Times;Serif"/>
          <w:b w:val="false"/>
          <w:i w:val="false"/>
          <w:caps w:val="false"/>
          <w:smallCaps w:val="false"/>
          <w:sz w:val="20"/>
        </w:rPr>
        <w:t>” means, with respect to any Party and to the extent applicable to it, any plan fund, program, agreement or arrangement for the provision of executive compensation, deferred or incentive compensation, profit sharing, stock bonus, bonus, stock option, phantom stock, stock purchase, termination, salary continuation, employee assistance, supplemental retirement, severance, vacation, sickness, disability, death, fringe benefit, insurance, medical or other benefits (whether provided through insurance, on a funded or unfunded basis, or otherwise) to any current or former employee, director, consultant or independent contractor, or any dependent, survivor or beneficiary with respect to any of the foregoing, which is maintained, administered or contributed to (directly or indirectly through a professional employer organization or otherwise) by such Party.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w:t>
      </w:r>
      <w:r>
        <w:rPr>
          <w:rFonts w:ascii="Times New Roman;Times;Serif" w:hAnsi="Times New Roman;Times;Serif"/>
          <w:b w:val="false"/>
          <w:i w:val="false"/>
          <w:caps w:val="false"/>
          <w:smallCaps w:val="false"/>
          <w:sz w:val="20"/>
          <w:u w:val="single"/>
        </w:rPr>
        <w:t>Business Day</w:t>
      </w:r>
      <w:r>
        <w:rPr>
          <w:rFonts w:ascii="Times New Roman;Times;Serif" w:hAnsi="Times New Roman;Times;Serif"/>
          <w:b w:val="false"/>
          <w:i w:val="false"/>
          <w:caps w:val="false"/>
          <w:smallCaps w:val="false"/>
          <w:sz w:val="20"/>
        </w:rPr>
        <w:t>” means any day other than a Saturday, a Sunday or a day on which commercial banks in the St. Louis, Missouri or in Paris, France are obligated by applicable Legal Requirement to be closed.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w:t>
      </w:r>
      <w:r>
        <w:rPr>
          <w:rFonts w:ascii="Times New Roman;Times;Serif" w:hAnsi="Times New Roman;Times;Serif"/>
          <w:b w:val="false"/>
          <w:i w:val="false"/>
          <w:caps w:val="false"/>
          <w:smallCaps w:val="false"/>
          <w:sz w:val="20"/>
          <w:u w:val="single"/>
        </w:rPr>
        <w:t>BSA Ratchet</w:t>
      </w:r>
      <w:r>
        <w:rPr>
          <w:rFonts w:ascii="Times New Roman;Times;Serif" w:hAnsi="Times New Roman;Times;Serif"/>
          <w:b w:val="false"/>
          <w:i w:val="false"/>
          <w:caps w:val="false"/>
          <w:smallCaps w:val="false"/>
          <w:sz w:val="20"/>
        </w:rPr>
        <w:t>” means the anti-dilution full ratchet warrants attached to the Series D1 Shares issued by the Company on May 26,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w:t>
      </w:r>
      <w:r>
        <w:rPr>
          <w:rFonts w:ascii="Times New Roman;Times;Serif" w:hAnsi="Times New Roman;Times;Serif"/>
          <w:b w:val="false"/>
          <w:i w:val="false"/>
          <w:caps w:val="false"/>
          <w:smallCaps w:val="false"/>
          <w:sz w:val="20"/>
          <w:u w:val="single"/>
        </w:rPr>
        <w:t>BSA EIB</w:t>
      </w:r>
      <w:r>
        <w:rPr>
          <w:rFonts w:ascii="Times New Roman;Times;Serif" w:hAnsi="Times New Roman;Times;Serif"/>
          <w:b w:val="false"/>
          <w:i w:val="false"/>
          <w:caps w:val="false"/>
          <w:smallCaps w:val="false"/>
          <w:sz w:val="20"/>
        </w:rPr>
        <w:t>” means the warrants (</w:t>
      </w:r>
      <w:r>
        <w:rPr>
          <w:rFonts w:ascii="Times New Roman;Times;Serif" w:hAnsi="Times New Roman;Times;Serif"/>
          <w:b w:val="false"/>
          <w:i/>
          <w:caps w:val="false"/>
          <w:smallCaps w:val="false"/>
          <w:sz w:val="20"/>
        </w:rPr>
        <w:t>bons de souscription d’actions</w:t>
      </w:r>
      <w:r>
        <w:rPr>
          <w:rFonts w:ascii="Times New Roman;Times;Serif" w:hAnsi="Times New Roman;Times;Serif"/>
          <w:b w:val="false"/>
          <w:i w:val="false"/>
          <w:caps w:val="false"/>
          <w:smallCaps w:val="false"/>
          <w:sz w:val="20"/>
        </w:rPr>
        <w:t>) issued by the Company to the European Investment Bank on January 12, 2022, as amended on May 12,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w:t>
      </w:r>
      <w:r>
        <w:rPr>
          <w:rFonts w:ascii="Times New Roman;Times;Serif" w:hAnsi="Times New Roman;Times;Serif"/>
          <w:b w:val="false"/>
          <w:i w:val="false"/>
          <w:caps w:val="false"/>
          <w:smallCaps w:val="false"/>
          <w:sz w:val="20"/>
          <w:u w:val="single"/>
        </w:rPr>
        <w:t>Break-Up Fee</w:t>
      </w:r>
      <w:r>
        <w:rPr>
          <w:rFonts w:ascii="Times New Roman;Times;Serif" w:hAnsi="Times New Roman;Times;Serif"/>
          <w:b w:val="false"/>
          <w:i w:val="false"/>
          <w:caps w:val="false"/>
          <w:smallCaps w:val="false"/>
          <w:sz w:val="20"/>
        </w:rPr>
        <w:t>” has the meaning set forth in Section 9.2(b).</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w:t>
      </w:r>
      <w:r>
        <w:rPr>
          <w:rFonts w:ascii="Times New Roman;Times;Serif" w:hAnsi="Times New Roman;Times;Serif"/>
          <w:b w:val="false"/>
          <w:i w:val="false"/>
          <w:caps w:val="false"/>
          <w:smallCaps w:val="false"/>
          <w:sz w:val="20"/>
          <w:u w:val="single"/>
        </w:rPr>
        <w:t>Cause</w:t>
      </w:r>
      <w:r>
        <w:rPr>
          <w:rFonts w:ascii="Times New Roman;Times;Serif" w:hAnsi="Times New Roman;Times;Serif"/>
          <w:b w:val="false"/>
          <w:i w:val="false"/>
          <w:caps w:val="false"/>
          <w:smallCaps w:val="false"/>
          <w:sz w:val="20"/>
        </w:rPr>
        <w:t>” means (i) with respect to any employee of the Company, any material misconduct including gross negligence (</w:t>
      </w:r>
      <w:r>
        <w:rPr>
          <w:rFonts w:ascii="Times New Roman;Times;Serif" w:hAnsi="Times New Roman;Times;Serif"/>
          <w:b w:val="false"/>
          <w:i/>
          <w:caps w:val="false"/>
          <w:smallCaps w:val="false"/>
          <w:sz w:val="20"/>
        </w:rPr>
        <w:t>faute grave</w:t>
      </w:r>
      <w:r>
        <w:rPr>
          <w:rFonts w:ascii="Times New Roman;Times;Serif" w:hAnsi="Times New Roman;Times;Serif"/>
          <w:b w:val="false"/>
          <w:i w:val="false"/>
          <w:caps w:val="false"/>
          <w:smallCaps w:val="false"/>
          <w:sz w:val="20"/>
        </w:rPr>
        <w:t>), wilful misconduct (</w:t>
      </w:r>
      <w:r>
        <w:rPr>
          <w:rFonts w:ascii="Times New Roman;Times;Serif" w:hAnsi="Times New Roman;Times;Serif"/>
          <w:b w:val="false"/>
          <w:i/>
          <w:caps w:val="false"/>
          <w:smallCaps w:val="false"/>
          <w:sz w:val="20"/>
        </w:rPr>
        <w:t>faute lourde</w:t>
      </w:r>
      <w:r>
        <w:rPr>
          <w:rFonts w:ascii="Times New Roman;Times;Serif" w:hAnsi="Times New Roman;Times;Serif"/>
          <w:b w:val="false"/>
          <w:i w:val="false"/>
          <w:caps w:val="false"/>
          <w:smallCaps w:val="false"/>
          <w:sz w:val="20"/>
        </w:rPr>
        <w:t>) or justified grounds (</w:t>
      </w:r>
      <w:r>
        <w:rPr>
          <w:rFonts w:ascii="Times New Roman;Times;Serif" w:hAnsi="Times New Roman;Times;Serif"/>
          <w:b w:val="false"/>
          <w:i/>
          <w:caps w:val="false"/>
          <w:smallCaps w:val="false"/>
          <w:sz w:val="20"/>
        </w:rPr>
        <w:t>cause réelle et sérieuse)</w:t>
      </w:r>
      <w:r>
        <w:rPr>
          <w:rFonts w:ascii="Times New Roman;Times;Serif" w:hAnsi="Times New Roman;Times;Serif"/>
          <w:b w:val="false"/>
          <w:i w:val="false"/>
          <w:caps w:val="false"/>
          <w:smallCaps w:val="false"/>
          <w:sz w:val="20"/>
        </w:rPr>
        <w:t xml:space="preserve"> within the meaning of the French Labor Code and the case law applied by the French employment courts, or (ii) with respect to any consultant or services provider of the Company, any breach by such consultant or services provider of the underlying consulting or services agreement.</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 “</w:t>
      </w:r>
      <w:r>
        <w:rPr>
          <w:rFonts w:ascii="Times New Roman;Times;Serif" w:hAnsi="Times New Roman;Times;Serif"/>
          <w:b w:val="false"/>
          <w:i w:val="false"/>
          <w:caps w:val="false"/>
          <w:smallCaps w:val="false"/>
          <w:sz w:val="20"/>
          <w:u w:val="single"/>
        </w:rPr>
        <w:t>Claim Notice</w:t>
      </w:r>
      <w:r>
        <w:rPr>
          <w:rFonts w:ascii="Times New Roman;Times;Serif" w:hAnsi="Times New Roman;Times;Serif"/>
          <w:b w:val="false"/>
          <w:i w:val="false"/>
          <w:caps w:val="false"/>
          <w:smallCaps w:val="false"/>
          <w:sz w:val="20"/>
        </w:rPr>
        <w:t>” has the meaning set forth in Section 8.1(a).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 “</w:t>
      </w:r>
      <w:r>
        <w:rPr>
          <w:rFonts w:ascii="Times New Roman;Times;Serif" w:hAnsi="Times New Roman;Times;Serif"/>
          <w:b w:val="false"/>
          <w:i w:val="false"/>
          <w:caps w:val="false"/>
          <w:smallCaps w:val="false"/>
          <w:sz w:val="20"/>
          <w:u w:val="single"/>
        </w:rPr>
        <w:t>Claims Cut-Off Date</w:t>
      </w:r>
      <w:r>
        <w:rPr>
          <w:rFonts w:ascii="Times New Roman;Times;Serif" w:hAnsi="Times New Roman;Times;Serif"/>
          <w:b w:val="false"/>
          <w:i w:val="false"/>
          <w:caps w:val="false"/>
          <w:smallCaps w:val="false"/>
          <w:sz w:val="20"/>
        </w:rPr>
        <w:t>” has the meaning set forth in Section 8.1(a).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 “</w:t>
      </w:r>
      <w:r>
        <w:rPr>
          <w:rFonts w:ascii="Times New Roman;Times;Serif" w:hAnsi="Times New Roman;Times;Serif"/>
          <w:b w:val="false"/>
          <w:i w:val="false"/>
          <w:caps w:val="false"/>
          <w:smallCaps w:val="false"/>
          <w:sz w:val="20"/>
          <w:u w:val="single"/>
        </w:rPr>
        <w:t>Closing</w:t>
      </w:r>
      <w:r>
        <w:rPr>
          <w:rFonts w:ascii="Times New Roman;Times;Serif" w:hAnsi="Times New Roman;Times;Serif"/>
          <w:b w:val="false"/>
          <w:i w:val="false"/>
          <w:caps w:val="false"/>
          <w:smallCaps w:val="false"/>
          <w:sz w:val="20"/>
        </w:rPr>
        <w:t>” has the meaning set forth in Section 2.1.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 “</w:t>
      </w:r>
      <w:r>
        <w:rPr>
          <w:rFonts w:ascii="Times New Roman;Times;Serif" w:hAnsi="Times New Roman;Times;Serif"/>
          <w:b w:val="false"/>
          <w:i w:val="false"/>
          <w:caps w:val="false"/>
          <w:smallCaps w:val="false"/>
          <w:sz w:val="20"/>
          <w:u w:val="single"/>
        </w:rPr>
        <w:t>Closing Date</w:t>
      </w:r>
      <w:r>
        <w:rPr>
          <w:rFonts w:ascii="Times New Roman;Times;Serif" w:hAnsi="Times New Roman;Times;Serif"/>
          <w:b w:val="false"/>
          <w:i w:val="false"/>
          <w:caps w:val="false"/>
          <w:smallCaps w:val="false"/>
          <w:sz w:val="20"/>
        </w:rPr>
        <w:t>” has the meaning set forth in Section 2.1.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 “</w:t>
      </w:r>
      <w:r>
        <w:rPr>
          <w:rFonts w:ascii="Times New Roman;Times;Serif" w:hAnsi="Times New Roman;Times;Serif"/>
          <w:b w:val="false"/>
          <w:i w:val="false"/>
          <w:caps w:val="false"/>
          <w:smallCaps w:val="false"/>
          <w:sz w:val="20"/>
          <w:u w:val="single"/>
        </w:rPr>
        <w:t>Closing Date Indebtedness</w:t>
      </w:r>
      <w:r>
        <w:rPr>
          <w:rFonts w:ascii="Times New Roman;Times;Serif" w:hAnsi="Times New Roman;Times;Serif"/>
          <w:b w:val="false"/>
          <w:i w:val="false"/>
          <w:caps w:val="false"/>
          <w:smallCaps w:val="false"/>
          <w:sz w:val="20"/>
        </w:rPr>
        <w:t>” means the amount of Indebtedness of the Company at Closing.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(17) </w:t>
      </w:r>
      <w:r>
        <w:rPr>
          <w:rFonts w:ascii="Times New Roman;Times;Serif" w:hAnsi="Times New Roman;Times;Serif"/>
          <w:b w:val="false"/>
          <w:i w:val="false"/>
          <w:caps w:val="false"/>
          <w:smallCaps w:val="false"/>
          <w:sz w:val="20"/>
          <w:u w:val="single"/>
        </w:rPr>
        <w:t>“Closing Balance Sheet”</w:t>
      </w:r>
      <w:r>
        <w:rPr>
          <w:rFonts w:ascii="Times New Roman;Times;Serif" w:hAnsi="Times New Roman;Times;Serif"/>
          <w:b w:val="false"/>
          <w:i w:val="false"/>
          <w:caps w:val="false"/>
          <w:smallCaps w:val="false"/>
          <w:sz w:val="20"/>
        </w:rPr>
        <w:t xml:space="preserve"> has the meaning set forth in Section 1.4.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 “</w:t>
      </w:r>
      <w:r>
        <w:rPr>
          <w:rFonts w:ascii="Times New Roman;Times;Serif" w:hAnsi="Times New Roman;Times;Serif"/>
          <w:b w:val="false"/>
          <w:i w:val="false"/>
          <w:caps w:val="false"/>
          <w:smallCaps w:val="false"/>
          <w:sz w:val="20"/>
          <w:u w:val="single"/>
        </w:rPr>
        <w:t>Consideration Allocation Spreadsheet</w:t>
      </w:r>
      <w:r>
        <w:rPr>
          <w:rFonts w:ascii="Times New Roman;Times;Serif" w:hAnsi="Times New Roman;Times;Serif"/>
          <w:b w:val="false"/>
          <w:i w:val="false"/>
          <w:caps w:val="false"/>
          <w:smallCaps w:val="false"/>
          <w:sz w:val="20"/>
        </w:rPr>
        <w:t>” has the meaning set forth in Section 2.2(b)(vii).</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(19) </w:t>
      </w:r>
      <w:r>
        <w:rPr>
          <w:rFonts w:ascii="Times New Roman;Times;Serif" w:hAnsi="Times New Roman;Times;Serif"/>
          <w:b w:val="false"/>
          <w:i w:val="false"/>
          <w:caps w:val="false"/>
          <w:smallCaps w:val="false"/>
          <w:sz w:val="20"/>
          <w:u w:val="single"/>
        </w:rPr>
        <w:t>“Closing Working Capital Amount”</w:t>
      </w:r>
      <w:r>
        <w:rPr>
          <w:rFonts w:ascii="Times New Roman;Times;Serif" w:hAnsi="Times New Roman;Times;Serif"/>
          <w:b w:val="false"/>
          <w:i w:val="false"/>
          <w:caps w:val="false"/>
          <w:smallCaps w:val="false"/>
          <w:sz w:val="20"/>
        </w:rPr>
        <w:t xml:space="preserve"> has the meaning set forth in Section 1.4.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(20) </w:t>
      </w:r>
      <w:r>
        <w:rPr>
          <w:rFonts w:ascii="Times New Roman;Times;Serif" w:hAnsi="Times New Roman;Times;Serif"/>
          <w:b w:val="false"/>
          <w:i w:val="false"/>
          <w:caps w:val="false"/>
          <w:smallCaps w:val="false"/>
          <w:sz w:val="20"/>
          <w:u w:val="single"/>
        </w:rPr>
        <w:t>“Closing Adjustment Notice”</w:t>
      </w:r>
      <w:r>
        <w:rPr>
          <w:rFonts w:ascii="Times New Roman;Times;Serif" w:hAnsi="Times New Roman;Times;Serif"/>
          <w:b w:val="false"/>
          <w:i w:val="false"/>
          <w:caps w:val="false"/>
          <w:smallCaps w:val="false"/>
          <w:sz w:val="20"/>
        </w:rPr>
        <w:t xml:space="preserve"> has the meaning set forth in Section 1.4.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 “</w:t>
      </w:r>
      <w:r>
        <w:rPr>
          <w:rFonts w:ascii="Times New Roman;Times;Serif" w:hAnsi="Times New Roman;Times;Serif"/>
          <w:b w:val="false"/>
          <w:i w:val="false"/>
          <w:caps w:val="false"/>
          <w:smallCaps w:val="false"/>
          <w:sz w:val="20"/>
          <w:u w:val="single"/>
        </w:rPr>
        <w:t>Code</w:t>
      </w:r>
      <w:r>
        <w:rPr>
          <w:rFonts w:ascii="Times New Roman;Times;Serif" w:hAnsi="Times New Roman;Times;Serif"/>
          <w:b w:val="false"/>
          <w:i w:val="false"/>
          <w:caps w:val="false"/>
          <w:smallCaps w:val="false"/>
          <w:sz w:val="20"/>
        </w:rPr>
        <w:t>” means the Internal Revenue Code of 1986, as amended.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 “</w:t>
      </w:r>
      <w:r>
        <w:rPr>
          <w:rFonts w:ascii="Times New Roman;Times;Serif" w:hAnsi="Times New Roman;Times;Serif"/>
          <w:b w:val="false"/>
          <w:i w:val="false"/>
          <w:caps w:val="false"/>
          <w:smallCaps w:val="false"/>
          <w:sz w:val="20"/>
          <w:u w:val="single"/>
        </w:rPr>
        <w:t>Commercially Reasonable Efforts</w:t>
      </w:r>
      <w:r>
        <w:rPr>
          <w:rFonts w:ascii="Times New Roman;Times;Serif" w:hAnsi="Times New Roman;Times;Serif"/>
          <w:b w:val="false"/>
          <w:i w:val="false"/>
          <w:caps w:val="false"/>
          <w:smallCaps w:val="false"/>
          <w:sz w:val="20"/>
        </w:rPr>
        <w:t>” means the commercially reasonable efforts that a prudent Person that desires to achieve a result would use in similar circumstances to ensure that the result is achieved as expeditiously as possible; it being specified that for the Purchaser and its Affiliates using its Commercially Reasonable Efforts to achieve the Milestones shall be assessed taking into consideration such efforts to accomplish any such milestones as normally used by similarly-situated companies in connection with the development of products, components or consumables, of similar market potential at a similar stage of product, component or consumable; provided, however, that a Person required to use its Commercially Reasonable Efforts shall not be required to take actions that would result in a Material Adverse Effect for such Person, commence any litigation or offer or grant any material accommodation (financial or otherwise) to any third-party;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 “</w:t>
      </w:r>
      <w:r>
        <w:rPr>
          <w:rFonts w:ascii="Times New Roman;Times;Serif" w:hAnsi="Times New Roman;Times;Serif"/>
          <w:b w:val="false"/>
          <w:i w:val="false"/>
          <w:caps w:val="false"/>
          <w:smallCaps w:val="false"/>
          <w:sz w:val="20"/>
          <w:u w:val="single"/>
        </w:rPr>
        <w:t>Commercial Earnout Payment Date</w:t>
      </w:r>
      <w:r>
        <w:rPr>
          <w:rFonts w:ascii="Times New Roman;Times;Serif" w:hAnsi="Times New Roman;Times;Serif"/>
          <w:b w:val="false"/>
          <w:i w:val="false"/>
          <w:caps w:val="false"/>
          <w:smallCaps w:val="false"/>
          <w:sz w:val="20"/>
        </w:rPr>
        <w:t>” has the meaning set forth in Section 1.5.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 “</w:t>
      </w:r>
      <w:r>
        <w:rPr>
          <w:rFonts w:ascii="Times New Roman;Times;Serif" w:hAnsi="Times New Roman;Times;Serif"/>
          <w:b w:val="false"/>
          <w:i w:val="false"/>
          <w:caps w:val="false"/>
          <w:smallCaps w:val="false"/>
          <w:sz w:val="20"/>
          <w:u w:val="single"/>
        </w:rPr>
        <w:t>Commercial Milestone(s)</w:t>
      </w:r>
      <w:r>
        <w:rPr>
          <w:rFonts w:ascii="Times New Roman;Times;Serif" w:hAnsi="Times New Roman;Times;Serif"/>
          <w:b w:val="false"/>
          <w:i w:val="false"/>
          <w:caps w:val="false"/>
          <w:smallCaps w:val="false"/>
          <w:sz w:val="20"/>
        </w:rPr>
        <w:t>” means Commercial Milestone 1 and/or Commercial Milestone 2, as the case may be.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 “</w:t>
      </w:r>
      <w:r>
        <w:rPr>
          <w:rFonts w:ascii="Times New Roman;Times;Serif" w:hAnsi="Times New Roman;Times;Serif"/>
          <w:b w:val="false"/>
          <w:i w:val="false"/>
          <w:caps w:val="false"/>
          <w:smallCaps w:val="false"/>
          <w:sz w:val="20"/>
          <w:u w:val="single"/>
        </w:rPr>
        <w:t>Commercial Milestone 1</w:t>
      </w:r>
      <w:r>
        <w:rPr>
          <w:rFonts w:ascii="Times New Roman;Times;Serif" w:hAnsi="Times New Roman;Times;Serif"/>
          <w:b w:val="false"/>
          <w:i w:val="false"/>
          <w:caps w:val="false"/>
          <w:smallCaps w:val="false"/>
          <w:sz w:val="20"/>
        </w:rPr>
        <w:t>” means the cumulative commercial sale, either directly or indirectly (notably through agent, distributors or otherwise) by the Company, the Purchaser or any of their Affiliates, of at least [***] R-Two Products procedure kits, with each such kit comprising the disposables required to perform a single robotic procedure with the R-Two Product; provided, that for purposes of calculating the achievement of Commercial Milestone 1 (i) disposable granted as a bundle to acquirers of the R-Two Products shall be counted, (ii) disposable used in multiple robotic procedures, then it should be counted for the number of robotic procedures which can be officially on-label performed by the kit, (iii) disposables granted for free, used in studies for regulatory purpose, or returned shall not be counted. For avoidance of doubt, sales of kits will be counted in line with US GAAP revenue recognition.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(26) </w:t>
      </w:r>
      <w:r>
        <w:rPr>
          <w:rFonts w:ascii="Times New Roman;Times;Serif" w:hAnsi="Times New Roman;Times;Serif"/>
          <w:b w:val="false"/>
          <w:i w:val="false"/>
          <w:caps w:val="false"/>
          <w:smallCaps w:val="false"/>
          <w:sz w:val="20"/>
          <w:u w:val="single"/>
        </w:rPr>
        <w:t>“Commercial Milestone 2</w:t>
      </w:r>
      <w:r>
        <w:rPr>
          <w:rFonts w:ascii="Times New Roman;Times;Serif" w:hAnsi="Times New Roman;Times;Serif"/>
          <w:b w:val="false"/>
          <w:i w:val="false"/>
          <w:caps w:val="false"/>
          <w:smallCaps w:val="false"/>
          <w:sz w:val="20"/>
        </w:rPr>
        <w:t>” means the cumulative commercial sale, either directly or indirectly (notably through agent, distributors or otherwise) by the Company, the Purchaser or any of their Affiliates, of at least [***] R-Two Products procedure kits, with each such kit comprising the disposables required to perform a single robotic procedure with the R-Two Product; provided, that for purposes of calculating the achievement of Commercial Milestone 2 (i) disposable granted as a bundle to acquirers of the R-Two Products shall be counted, (ii) disposable used in multiple robotic procedures, then it should be counted for the number robotic procedures which can be officially on-label performed by the kit, (iii) disposables granted for free, used in studies for regulatory purpose, or returned shall not be counted. For avoidance of doubt, sales of kits will be counted in line with US GAAP revenue recognition.</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 “</w:t>
      </w:r>
      <w:r>
        <w:rPr>
          <w:rFonts w:ascii="Times New Roman;Times;Serif" w:hAnsi="Times New Roman;Times;Serif"/>
          <w:b w:val="false"/>
          <w:i w:val="false"/>
          <w:caps w:val="false"/>
          <w:smallCaps w:val="false"/>
          <w:sz w:val="20"/>
          <w:u w:val="single"/>
        </w:rPr>
        <w:t>Commercial Milestone Consideration</w:t>
      </w:r>
      <w:r>
        <w:rPr>
          <w:rFonts w:ascii="Times New Roman;Times;Serif" w:hAnsi="Times New Roman;Times;Serif"/>
          <w:b w:val="false"/>
          <w:i w:val="false"/>
          <w:caps w:val="false"/>
          <w:smallCaps w:val="false"/>
          <w:sz w:val="20"/>
        </w:rPr>
        <w:t>” means the Commercial Milestone Consideration 1 and/or Commercial Milestone Consideration 2, as the case may be, it being specified that they are cumulative, not alternative.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 “</w:t>
      </w:r>
      <w:r>
        <w:rPr>
          <w:rFonts w:ascii="Times New Roman;Times;Serif" w:hAnsi="Times New Roman;Times;Serif"/>
          <w:b w:val="false"/>
          <w:i w:val="false"/>
          <w:caps w:val="false"/>
          <w:smallCaps w:val="false"/>
          <w:sz w:val="20"/>
          <w:u w:val="single"/>
        </w:rPr>
        <w:t>Commercial Milestone Consideration 1</w:t>
      </w:r>
      <w:r>
        <w:rPr>
          <w:rFonts w:ascii="Times New Roman;Times;Serif" w:hAnsi="Times New Roman;Times;Serif"/>
          <w:b w:val="false"/>
          <w:i w:val="false"/>
          <w:caps w:val="false"/>
          <w:smallCaps w:val="false"/>
          <w:sz w:val="20"/>
        </w:rPr>
        <w:t>” means $5,000,000.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 “</w:t>
      </w:r>
      <w:r>
        <w:rPr>
          <w:rFonts w:ascii="Times New Roman;Times;Serif" w:hAnsi="Times New Roman;Times;Serif"/>
          <w:b w:val="false"/>
          <w:i w:val="false"/>
          <w:caps w:val="false"/>
          <w:smallCaps w:val="false"/>
          <w:sz w:val="20"/>
          <w:u w:val="single"/>
        </w:rPr>
        <w:t>Commercial Milestone Consideration 2</w:t>
      </w:r>
      <w:r>
        <w:rPr>
          <w:rFonts w:ascii="Times New Roman;Times;Serif" w:hAnsi="Times New Roman;Times;Serif"/>
          <w:b w:val="false"/>
          <w:i w:val="false"/>
          <w:caps w:val="false"/>
          <w:smallCaps w:val="false"/>
          <w:sz w:val="20"/>
        </w:rPr>
        <w:t>” means $10,000,000.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 “</w:t>
      </w:r>
      <w:r>
        <w:rPr>
          <w:rFonts w:ascii="Times New Roman;Times;Serif" w:hAnsi="Times New Roman;Times;Serif"/>
          <w:b w:val="false"/>
          <w:i w:val="false"/>
          <w:caps w:val="false"/>
          <w:smallCaps w:val="false"/>
          <w:sz w:val="20"/>
          <w:u w:val="single"/>
        </w:rPr>
        <w:t>Commercial Milestone Notice</w:t>
      </w:r>
      <w:r>
        <w:rPr>
          <w:rFonts w:ascii="Times New Roman;Times;Serif" w:hAnsi="Times New Roman;Times;Serif"/>
          <w:b w:val="false"/>
          <w:i w:val="false"/>
          <w:caps w:val="false"/>
          <w:smallCaps w:val="false"/>
          <w:sz w:val="20"/>
        </w:rPr>
        <w:t>” has the meaning set forth in Section 1.5.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 “</w:t>
      </w:r>
      <w:r>
        <w:rPr>
          <w:rFonts w:ascii="Times New Roman;Times;Serif" w:hAnsi="Times New Roman;Times;Serif"/>
          <w:b w:val="false"/>
          <w:i w:val="false"/>
          <w:caps w:val="false"/>
          <w:smallCaps w:val="false"/>
          <w:sz w:val="20"/>
          <w:u w:val="single"/>
        </w:rPr>
        <w:t>Commercial Milestone Period</w:t>
      </w:r>
      <w:r>
        <w:rPr>
          <w:rFonts w:ascii="Times New Roman;Times;Serif" w:hAnsi="Times New Roman;Times;Serif"/>
          <w:b w:val="false"/>
          <w:i w:val="false"/>
          <w:caps w:val="false"/>
          <w:smallCaps w:val="false"/>
          <w:sz w:val="20"/>
        </w:rPr>
        <w:t>” means Commercial Milestone 1 Period or Commercial Milestone 2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 “</w:t>
      </w:r>
      <w:r>
        <w:rPr>
          <w:rFonts w:ascii="Times New Roman;Times;Serif" w:hAnsi="Times New Roman;Times;Serif"/>
          <w:b w:val="false"/>
          <w:i w:val="false"/>
          <w:caps w:val="false"/>
          <w:smallCaps w:val="false"/>
          <w:sz w:val="20"/>
          <w:u w:val="single"/>
        </w:rPr>
        <w:t>Commercial Milestone 1 Period</w:t>
      </w:r>
      <w:r>
        <w:rPr>
          <w:rFonts w:ascii="Times New Roman;Times;Serif" w:hAnsi="Times New Roman;Times;Serif"/>
          <w:b w:val="false"/>
          <w:i w:val="false"/>
          <w:caps w:val="false"/>
          <w:smallCaps w:val="false"/>
          <w:sz w:val="20"/>
        </w:rPr>
        <w:t>” means the period commencing as of the Closing Date of this Agreement and ending on December 31, 2035.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 “</w:t>
      </w:r>
      <w:r>
        <w:rPr>
          <w:rFonts w:ascii="Times New Roman;Times;Serif" w:hAnsi="Times New Roman;Times;Serif"/>
          <w:b w:val="false"/>
          <w:i w:val="false"/>
          <w:caps w:val="false"/>
          <w:smallCaps w:val="false"/>
          <w:sz w:val="20"/>
          <w:u w:val="single"/>
        </w:rPr>
        <w:t>Commercial Milestone 2 Period</w:t>
      </w:r>
      <w:r>
        <w:rPr>
          <w:rFonts w:ascii="Times New Roman;Times;Serif" w:hAnsi="Times New Roman;Times;Serif"/>
          <w:b w:val="false"/>
          <w:i w:val="false"/>
          <w:caps w:val="false"/>
          <w:smallCaps w:val="false"/>
          <w:sz w:val="20"/>
        </w:rPr>
        <w:t>” means the period commencing as of the Closing Date of this Agreement and ending on December 31, 2037.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 “</w:t>
      </w:r>
      <w:r>
        <w:rPr>
          <w:rFonts w:ascii="Times New Roman;Times;Serif" w:hAnsi="Times New Roman;Times;Serif"/>
          <w:b w:val="false"/>
          <w:i w:val="false"/>
          <w:caps w:val="false"/>
          <w:smallCaps w:val="false"/>
          <w:sz w:val="20"/>
          <w:u w:val="single"/>
        </w:rPr>
        <w:t>Commercial Tax Agreement</w:t>
      </w:r>
      <w:r>
        <w:rPr>
          <w:rFonts w:ascii="Times New Roman;Times;Serif" w:hAnsi="Times New Roman;Times;Serif"/>
          <w:b w:val="false"/>
          <w:i w:val="false"/>
          <w:caps w:val="false"/>
          <w:smallCaps w:val="false"/>
          <w:sz w:val="20"/>
        </w:rPr>
        <w:t>” means customary commercial agreements not primarily related to Taxes that contain agreements or arrangements relating to the apportionment, sharing, assignment or allocation of Taxes (such as financing agreements with Tax gross-up obligations or leases with Tax escalation provisions).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 “</w:t>
      </w:r>
      <w:r>
        <w:rPr>
          <w:rFonts w:ascii="Times New Roman;Times;Serif" w:hAnsi="Times New Roman;Times;Serif"/>
          <w:b w:val="false"/>
          <w:i w:val="false"/>
          <w:caps w:val="false"/>
          <w:smallCaps w:val="false"/>
          <w:sz w:val="20"/>
          <w:u w:val="single"/>
        </w:rPr>
        <w:t>Conciliation Protocol</w:t>
      </w:r>
      <w:r>
        <w:rPr>
          <w:rFonts w:ascii="Times New Roman;Times;Serif" w:hAnsi="Times New Roman;Times;Serif"/>
          <w:b w:val="false"/>
          <w:i w:val="false"/>
          <w:caps w:val="false"/>
          <w:smallCaps w:val="false"/>
          <w:sz w:val="20"/>
        </w:rPr>
        <w:t>” has the meaning set forth in Section 2.2(b)(vi).</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 “</w:t>
      </w:r>
      <w:r>
        <w:rPr>
          <w:rFonts w:ascii="Times New Roman;Times;Serif" w:hAnsi="Times New Roman;Times;Serif"/>
          <w:b w:val="false"/>
          <w:i w:val="false"/>
          <w:caps w:val="false"/>
          <w:smallCaps w:val="false"/>
          <w:sz w:val="20"/>
          <w:u w:val="single"/>
        </w:rPr>
        <w:t>Contract</w:t>
      </w:r>
      <w:r>
        <w:rPr>
          <w:rFonts w:ascii="Times New Roman;Times;Serif" w:hAnsi="Times New Roman;Times;Serif"/>
          <w:b w:val="false"/>
          <w:i w:val="false"/>
          <w:caps w:val="false"/>
          <w:smallCaps w:val="false"/>
          <w:sz w:val="20"/>
        </w:rPr>
        <w:t>” means any note, bond, mortgage, debt instrument, security agreement, contract, license, lease, sublease, covenant, commitment, power of attorney, proxy, indenture, purchase and sale order, or other agreement or arrangement, oral or written, to which a Person is a party or by which a Person or any of its assets or properties is bound.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has the meaning set forth in the Preamble.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 “</w:t>
      </w:r>
      <w:r>
        <w:rPr>
          <w:rFonts w:ascii="Times New Roman;Times;Serif" w:hAnsi="Times New Roman;Times;Serif"/>
          <w:b w:val="false"/>
          <w:i w:val="false"/>
          <w:caps w:val="false"/>
          <w:smallCaps w:val="false"/>
          <w:sz w:val="20"/>
          <w:u w:val="single"/>
        </w:rPr>
        <w:t>Company Capitalization Table</w:t>
      </w:r>
      <w:r>
        <w:rPr>
          <w:rFonts w:ascii="Times New Roman;Times;Serif" w:hAnsi="Times New Roman;Times;Serif"/>
          <w:b w:val="false"/>
          <w:i w:val="false"/>
          <w:caps w:val="false"/>
          <w:smallCaps w:val="false"/>
          <w:sz w:val="20"/>
        </w:rPr>
        <w:t>” has the meaning set forth in the recitals.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 “</w:t>
      </w:r>
      <w:r>
        <w:rPr>
          <w:rFonts w:ascii="Times New Roman;Times;Serif" w:hAnsi="Times New Roman;Times;Serif"/>
          <w:b w:val="false"/>
          <w:i w:val="false"/>
          <w:caps w:val="false"/>
          <w:smallCaps w:val="false"/>
          <w:sz w:val="20"/>
          <w:u w:val="single"/>
        </w:rPr>
        <w:t>Company Data Room</w:t>
      </w:r>
      <w:r>
        <w:rPr>
          <w:rFonts w:ascii="Times New Roman;Times;Serif" w:hAnsi="Times New Roman;Times;Serif"/>
          <w:b w:val="false"/>
          <w:i w:val="false"/>
          <w:caps w:val="false"/>
          <w:smallCaps w:val="false"/>
          <w:sz w:val="20"/>
        </w:rPr>
        <w:t>” means the documents relating to Company available for review by or on behalf of Purchaser from October 16, 2025 until March 30, 2026 in the electronic data room hosted and maintained on behalf of Company, with access logs and document version history preserved as of the date of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 “</w:t>
      </w:r>
      <w:r>
        <w:rPr>
          <w:rFonts w:ascii="Times New Roman;Times;Serif" w:hAnsi="Times New Roman;Times;Serif"/>
          <w:b w:val="false"/>
          <w:i w:val="false"/>
          <w:caps w:val="false"/>
          <w:smallCaps w:val="false"/>
          <w:sz w:val="20"/>
          <w:u w:val="single"/>
        </w:rPr>
        <w:t>Company Disclosure Letter</w:t>
      </w:r>
      <w:r>
        <w:rPr>
          <w:rFonts w:ascii="Times New Roman;Times;Serif" w:hAnsi="Times New Roman;Times;Serif"/>
          <w:b w:val="false"/>
          <w:i w:val="false"/>
          <w:caps w:val="false"/>
          <w:smallCaps w:val="false"/>
          <w:sz w:val="20"/>
        </w:rPr>
        <w:t>” means the disclosure letter, dated the date of this Agreement, prepared and signed by the Manager and the Company and delivered to Purchaser simultaneously with the execution of this Agreement and attached hereto as Schedule 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 “</w:t>
      </w:r>
      <w:r>
        <w:rPr>
          <w:rFonts w:ascii="Times New Roman;Times;Serif" w:hAnsi="Times New Roman;Times;Serif"/>
          <w:b w:val="false"/>
          <w:i w:val="false"/>
          <w:caps w:val="false"/>
          <w:smallCaps w:val="false"/>
          <w:sz w:val="20"/>
          <w:u w:val="single"/>
        </w:rPr>
        <w:t>Company Existing Bylaws</w:t>
      </w:r>
      <w:r>
        <w:rPr>
          <w:rFonts w:ascii="Times New Roman;Times;Serif" w:hAnsi="Times New Roman;Times;Serif"/>
          <w:b w:val="false"/>
          <w:i w:val="false"/>
          <w:caps w:val="false"/>
          <w:smallCaps w:val="false"/>
          <w:sz w:val="20"/>
        </w:rPr>
        <w:t>” means the bylaws (</w:t>
      </w:r>
      <w:r>
        <w:rPr>
          <w:rFonts w:ascii="Times New Roman;Times;Serif" w:hAnsi="Times New Roman;Times;Serif"/>
          <w:b w:val="false"/>
          <w:i/>
          <w:caps w:val="false"/>
          <w:smallCaps w:val="false"/>
          <w:sz w:val="20"/>
        </w:rPr>
        <w:t>statuts</w:t>
      </w:r>
      <w:r>
        <w:rPr>
          <w:rFonts w:ascii="Times New Roman;Times;Serif" w:hAnsi="Times New Roman;Times;Serif"/>
          <w:b w:val="false"/>
          <w:i w:val="false"/>
          <w:caps w:val="false"/>
          <w:smallCaps w:val="false"/>
          <w:sz w:val="20"/>
        </w:rPr>
        <w:t>) of Company dated as of 26 May 2025, as effective as at the execution date of the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 “</w:t>
      </w:r>
      <w:r>
        <w:rPr>
          <w:rFonts w:ascii="Times New Roman;Times;Serif" w:hAnsi="Times New Roman;Times;Serif"/>
          <w:b w:val="false"/>
          <w:i w:val="false"/>
          <w:caps w:val="false"/>
          <w:smallCaps w:val="false"/>
          <w:sz w:val="20"/>
          <w:u w:val="single"/>
        </w:rPr>
        <w:t>Company Financial Statements</w:t>
      </w:r>
      <w:r>
        <w:rPr>
          <w:rFonts w:ascii="Times New Roman;Times;Serif" w:hAnsi="Times New Roman;Times;Serif"/>
          <w:b w:val="false"/>
          <w:i w:val="false"/>
          <w:caps w:val="false"/>
          <w:smallCaps w:val="false"/>
          <w:sz w:val="20"/>
        </w:rPr>
        <w:t>” has the meaning set forth in Section 3.13.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 “</w:t>
      </w:r>
      <w:r>
        <w:rPr>
          <w:rFonts w:ascii="Times New Roman;Times;Serif" w:hAnsi="Times New Roman;Times;Serif"/>
          <w:b w:val="false"/>
          <w:i w:val="false"/>
          <w:caps w:val="false"/>
          <w:smallCaps w:val="false"/>
          <w:sz w:val="20"/>
          <w:u w:val="single"/>
        </w:rPr>
        <w:t>Company In-Licenses</w:t>
      </w:r>
      <w:r>
        <w:rPr>
          <w:rFonts w:ascii="Times New Roman;Times;Serif" w:hAnsi="Times New Roman;Times;Serif"/>
          <w:b w:val="false"/>
          <w:i w:val="false"/>
          <w:caps w:val="false"/>
          <w:smallCaps w:val="false"/>
          <w:sz w:val="20"/>
        </w:rPr>
        <w:t>” has the meaning set forth in Section 3.7(b).</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 “</w:t>
      </w:r>
      <w:r>
        <w:rPr>
          <w:rFonts w:ascii="Times New Roman;Times;Serif" w:hAnsi="Times New Roman;Times;Serif"/>
          <w:b w:val="false"/>
          <w:i w:val="false"/>
          <w:caps w:val="false"/>
          <w:smallCaps w:val="false"/>
          <w:sz w:val="20"/>
          <w:u w:val="single"/>
        </w:rPr>
        <w:t>Company Indemnified Parties</w:t>
      </w:r>
      <w:r>
        <w:rPr>
          <w:rFonts w:ascii="Times New Roman;Times;Serif" w:hAnsi="Times New Roman;Times;Serif"/>
          <w:b w:val="false"/>
          <w:i w:val="false"/>
          <w:caps w:val="false"/>
          <w:smallCaps w:val="false"/>
          <w:sz w:val="20"/>
        </w:rPr>
        <w:t>” means the Sellers as of immediately prior to the Closing (in their capacities as such) and their transferees in accordance with Section 10.3.</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 “</w:t>
      </w:r>
      <w:r>
        <w:rPr>
          <w:rFonts w:ascii="Times New Roman;Times;Serif" w:hAnsi="Times New Roman;Times;Serif"/>
          <w:b w:val="false"/>
          <w:i w:val="false"/>
          <w:caps w:val="false"/>
          <w:smallCaps w:val="false"/>
          <w:sz w:val="20"/>
          <w:u w:val="single"/>
        </w:rPr>
        <w:t>Company Intellectual Property</w:t>
      </w:r>
      <w:r>
        <w:rPr>
          <w:rFonts w:ascii="Times New Roman;Times;Serif" w:hAnsi="Times New Roman;Times;Serif"/>
          <w:b w:val="false"/>
          <w:i w:val="false"/>
          <w:caps w:val="false"/>
          <w:smallCaps w:val="false"/>
          <w:sz w:val="20"/>
        </w:rPr>
        <w:t>” means all Intellectual Property Rights owned by or licensed by Company, including but not limited to the Registered Intellectual Property.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 “</w:t>
      </w:r>
      <w:r>
        <w:rPr>
          <w:rFonts w:ascii="Times New Roman;Times;Serif" w:hAnsi="Times New Roman;Times;Serif"/>
          <w:b w:val="false"/>
          <w:i w:val="false"/>
          <w:caps w:val="false"/>
          <w:smallCaps w:val="false"/>
          <w:sz w:val="20"/>
          <w:u w:val="single"/>
        </w:rPr>
        <w:t>Company Ordinary Shares</w:t>
      </w:r>
      <w:r>
        <w:rPr>
          <w:rFonts w:ascii="Times New Roman;Times;Serif" w:hAnsi="Times New Roman;Times;Serif"/>
          <w:b w:val="false"/>
          <w:i w:val="false"/>
          <w:caps w:val="false"/>
          <w:smallCaps w:val="false"/>
          <w:sz w:val="20"/>
        </w:rPr>
        <w:t>” means any ordinary share (</w:t>
      </w:r>
      <w:r>
        <w:rPr>
          <w:rFonts w:ascii="Times New Roman;Times;Serif" w:hAnsi="Times New Roman;Times;Serif"/>
          <w:b w:val="false"/>
          <w:i/>
          <w:caps w:val="false"/>
          <w:smallCaps w:val="false"/>
          <w:sz w:val="20"/>
        </w:rPr>
        <w:t>action ordinaire</w:t>
      </w:r>
      <w:r>
        <w:rPr>
          <w:rFonts w:ascii="Times New Roman;Times;Serif" w:hAnsi="Times New Roman;Times;Serif"/>
          <w:b w:val="false"/>
          <w:i w:val="false"/>
          <w:caps w:val="false"/>
          <w:smallCaps w:val="false"/>
          <w:sz w:val="20"/>
        </w:rPr>
        <w:t>) of Company, par value €1.00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 “</w:t>
      </w:r>
      <w:r>
        <w:rPr>
          <w:rFonts w:ascii="Times New Roman;Times;Serif" w:hAnsi="Times New Roman;Times;Serif"/>
          <w:b w:val="false"/>
          <w:i w:val="false"/>
          <w:caps w:val="false"/>
          <w:smallCaps w:val="false"/>
          <w:sz w:val="20"/>
          <w:u w:val="single"/>
        </w:rPr>
        <w:t>Company Out-Licenses</w:t>
      </w:r>
      <w:r>
        <w:rPr>
          <w:rFonts w:ascii="Times New Roman;Times;Serif" w:hAnsi="Times New Roman;Times;Serif"/>
          <w:b w:val="false"/>
          <w:i w:val="false"/>
          <w:caps w:val="false"/>
          <w:smallCaps w:val="false"/>
          <w:sz w:val="20"/>
        </w:rPr>
        <w:t>” has the meaning set forth in Section 3.7(b).</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 “</w:t>
      </w:r>
      <w:r>
        <w:rPr>
          <w:rFonts w:ascii="Times New Roman;Times;Serif" w:hAnsi="Times New Roman;Times;Serif"/>
          <w:b w:val="false"/>
          <w:i w:val="false"/>
          <w:caps w:val="false"/>
          <w:smallCaps w:val="false"/>
          <w:sz w:val="20"/>
          <w:u w:val="single"/>
        </w:rPr>
        <w:t>Company Owned Intellectual Property</w:t>
      </w:r>
      <w:r>
        <w:rPr>
          <w:rFonts w:ascii="Times New Roman;Times;Serif" w:hAnsi="Times New Roman;Times;Serif"/>
          <w:b w:val="false"/>
          <w:i w:val="false"/>
          <w:caps w:val="false"/>
          <w:smallCaps w:val="false"/>
          <w:sz w:val="20"/>
        </w:rPr>
        <w:t>” means all Intellectual Property Rights owned by Company, including but not limited to the Registered Intellectual Property.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 “</w:t>
      </w:r>
      <w:r>
        <w:rPr>
          <w:rFonts w:ascii="Times New Roman;Times;Serif" w:hAnsi="Times New Roman;Times;Serif"/>
          <w:b w:val="false"/>
          <w:i w:val="false"/>
          <w:caps w:val="false"/>
          <w:smallCaps w:val="false"/>
          <w:sz w:val="20"/>
          <w:u w:val="single"/>
        </w:rPr>
        <w:t>Company Plan</w:t>
      </w:r>
      <w:r>
        <w:rPr>
          <w:rFonts w:ascii="Times New Roman;Times;Serif" w:hAnsi="Times New Roman;Times;Serif"/>
          <w:b w:val="false"/>
          <w:i w:val="false"/>
          <w:caps w:val="false"/>
          <w:smallCaps w:val="false"/>
          <w:sz w:val="20"/>
        </w:rPr>
        <w:t>” means any Benefit Plan maintained, sponsored or contributed to or required to be contributed to by Company or with respect to which any such party may have liability.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 “</w:t>
      </w:r>
      <w:r>
        <w:rPr>
          <w:rFonts w:ascii="Times New Roman;Times;Serif" w:hAnsi="Times New Roman;Times;Serif"/>
          <w:b w:val="false"/>
          <w:i w:val="false"/>
          <w:caps w:val="false"/>
          <w:smallCaps w:val="false"/>
          <w:sz w:val="20"/>
          <w:u w:val="single"/>
        </w:rPr>
        <w:t>Company Preferred Shares”</w:t>
      </w:r>
      <w:r>
        <w:rPr>
          <w:rFonts w:ascii="Times New Roman;Times;Serif" w:hAnsi="Times New Roman;Times;Serif"/>
          <w:b w:val="false"/>
          <w:i w:val="false"/>
          <w:caps w:val="false"/>
          <w:smallCaps w:val="false"/>
          <w:sz w:val="20"/>
        </w:rPr>
        <w:t xml:space="preserve"> means [***] preferred shares “D1 Shares” (“</w:t>
      </w:r>
      <w:r>
        <w:rPr>
          <w:rFonts w:ascii="Times New Roman;Times;Serif" w:hAnsi="Times New Roman;Times;Serif"/>
          <w:b w:val="false"/>
          <w:i/>
          <w:caps w:val="false"/>
          <w:smallCaps w:val="false"/>
          <w:sz w:val="20"/>
        </w:rPr>
        <w:t>Actions D1”</w:t>
      </w:r>
      <w:r>
        <w:rPr>
          <w:rFonts w:ascii="Times New Roman;Times;Serif" w:hAnsi="Times New Roman;Times;Serif"/>
          <w:b w:val="false"/>
          <w:i w:val="false"/>
          <w:caps w:val="false"/>
          <w:smallCaps w:val="false"/>
          <w:sz w:val="20"/>
        </w:rPr>
        <w:t>) of Company, par value €1.00 per share and the preferred shares “D2 Shares” (“</w:t>
      </w:r>
      <w:r>
        <w:rPr>
          <w:rFonts w:ascii="Times New Roman;Times;Serif" w:hAnsi="Times New Roman;Times;Serif"/>
          <w:b w:val="false"/>
          <w:i/>
          <w:caps w:val="false"/>
          <w:smallCaps w:val="false"/>
          <w:sz w:val="20"/>
        </w:rPr>
        <w:t>Actions D2”</w:t>
      </w:r>
      <w:r>
        <w:rPr>
          <w:rFonts w:ascii="Times New Roman;Times;Serif" w:hAnsi="Times New Roman;Times;Serif"/>
          <w:b w:val="false"/>
          <w:i w:val="false"/>
          <w:caps w:val="false"/>
          <w:smallCaps w:val="false"/>
          <w:sz w:val="20"/>
        </w:rPr>
        <w:t>) of Company, par value €1.00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 “</w:t>
      </w:r>
      <w:r>
        <w:rPr>
          <w:rFonts w:ascii="Times New Roman;Times;Serif" w:hAnsi="Times New Roman;Times;Serif"/>
          <w:b w:val="false"/>
          <w:i w:val="false"/>
          <w:caps w:val="false"/>
          <w:smallCaps w:val="false"/>
          <w:sz w:val="20"/>
          <w:u w:val="single"/>
        </w:rPr>
        <w:t>Company Products</w:t>
      </w:r>
      <w:r>
        <w:rPr>
          <w:rFonts w:ascii="Times New Roman;Times;Serif" w:hAnsi="Times New Roman;Times;Serif"/>
          <w:b w:val="false"/>
          <w:i w:val="false"/>
          <w:caps w:val="false"/>
          <w:smallCaps w:val="false"/>
          <w:sz w:val="20"/>
        </w:rPr>
        <w:t>” means R-One Product, R-Two Products and any other clinical or pre-clinical products owned by, Company, or which Company is currently marketing, selling, distributing, developing, manufacturing, using or holding for use (whether or not in collaboration with another Person).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 “</w:t>
      </w:r>
      <w:r>
        <w:rPr>
          <w:rFonts w:ascii="Times New Roman;Times;Serif" w:hAnsi="Times New Roman;Times;Serif"/>
          <w:b w:val="false"/>
          <w:i w:val="false"/>
          <w:caps w:val="false"/>
          <w:smallCaps w:val="false"/>
          <w:sz w:val="20"/>
          <w:u w:val="single"/>
        </w:rPr>
        <w:t>Company Shareholders’ Agreements</w:t>
      </w:r>
      <w:r>
        <w:rPr>
          <w:rFonts w:ascii="Times New Roman;Times;Serif" w:hAnsi="Times New Roman;Times;Serif"/>
          <w:b w:val="false"/>
          <w:i w:val="false"/>
          <w:caps w:val="false"/>
          <w:smallCaps w:val="false"/>
          <w:sz w:val="20"/>
        </w:rPr>
        <w:t>” means (i) the shareholders’ agreement entered into by and among the Sellers, in the presence of Company, dated 24 April 2025, as amended from time to time, and (ii) each contractual undertaking (</w:t>
      </w:r>
      <w:r>
        <w:rPr>
          <w:rFonts w:ascii="Times New Roman;Times;Serif" w:hAnsi="Times New Roman;Times;Serif"/>
          <w:b w:val="false"/>
          <w:i/>
          <w:caps w:val="false"/>
          <w:smallCaps w:val="false"/>
          <w:sz w:val="20"/>
        </w:rPr>
        <w:t>engagement contractuel</w:t>
      </w:r>
      <w:r>
        <w:rPr>
          <w:rFonts w:ascii="Times New Roman;Times;Serif" w:hAnsi="Times New Roman;Times;Serif"/>
          <w:b w:val="false"/>
          <w:i w:val="false"/>
          <w:caps w:val="false"/>
          <w:smallCaps w:val="false"/>
          <w:sz w:val="20"/>
        </w:rPr>
        <w:t>) entered into with Securities holders who are not party to the shareholders’ agreement as amended from time to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(53) </w:t>
      </w:r>
      <w:r>
        <w:rPr>
          <w:rFonts w:ascii="Times New Roman;Times;Serif" w:hAnsi="Times New Roman;Times;Serif"/>
          <w:b w:val="false"/>
          <w:i w:val="false"/>
          <w:caps w:val="false"/>
          <w:smallCaps w:val="false"/>
          <w:sz w:val="20"/>
          <w:u w:val="single"/>
        </w:rPr>
        <w:t>“Competing Business”</w:t>
      </w:r>
      <w:r>
        <w:rPr>
          <w:rFonts w:ascii="Times New Roman;Times;Serif" w:hAnsi="Times New Roman;Times;Serif"/>
          <w:b w:val="false"/>
          <w:i w:val="false"/>
          <w:caps w:val="false"/>
          <w:smallCaps w:val="false"/>
          <w:sz w:val="20"/>
        </w:rPr>
        <w:t xml:space="preserve"> means any business that designs, develops, manufactures, markets and/or sells any products that directly compete with the Company Products in [***], including any product that has substantially the same primary intended mechanism of action as the Company Products and/or any of their consumables; except (i) as permitted under existing agreements between the Company, the Joint Venture and pursuant to the Joint Venture Agreements and (ii) with respect to activities related to the company founded by the Manager specializing in [***].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 “</w:t>
      </w:r>
      <w:r>
        <w:rPr>
          <w:rFonts w:ascii="Times New Roman;Times;Serif" w:hAnsi="Times New Roman;Times;Serif"/>
          <w:b w:val="false"/>
          <w:i w:val="false"/>
          <w:caps w:val="false"/>
          <w:smallCaps w:val="false"/>
          <w:sz w:val="20"/>
          <w:u w:val="single"/>
        </w:rPr>
        <w:t>Damages</w:t>
      </w:r>
      <w:r>
        <w:rPr>
          <w:rFonts w:ascii="Times New Roman;Times;Serif" w:hAnsi="Times New Roman;Times;Serif"/>
          <w:b w:val="false"/>
          <w:i w:val="false"/>
          <w:caps w:val="false"/>
          <w:smallCaps w:val="false"/>
          <w:sz w:val="20"/>
        </w:rPr>
        <w:t xml:space="preserve">” means all liabilities, losses, claims, damages, injury, awards, diminution in value, lost profits, charges, costs, causes of actions, lawsuits, administrative proceedings (including informal proceedings), investigations, audits, demands, assessments, adjustments, judgments, settlement payments, deficiencies, penalties, fines, Taxes, interest (including interest from the date of such damages) and reasonable and documented out-of-pocket costs and expenses (including, without limitation, reasonable and documented attorneys’ fees and disbursements of every kind, nature and description, incurred in connection with a third-party Proceeding or seeking to enforce indemnification obligations set forth in Article VI);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(i) punitive, incidental or exemplary damages and (ii) consequential damages (to the extent remote or speculative) shall only be deemed to be “Damages” to the extent they are actually paid or payable to a third party.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 “</w:t>
      </w:r>
      <w:r>
        <w:rPr>
          <w:rFonts w:ascii="Times New Roman;Times;Serif" w:hAnsi="Times New Roman;Times;Serif"/>
          <w:b w:val="false"/>
          <w:i w:val="false"/>
          <w:caps w:val="false"/>
          <w:smallCaps w:val="false"/>
          <w:sz w:val="20"/>
          <w:u w:val="single"/>
        </w:rPr>
        <w:t>Debt Restructuring</w:t>
      </w:r>
      <w:r>
        <w:rPr>
          <w:rFonts w:ascii="Times New Roman;Times;Serif" w:hAnsi="Times New Roman;Times;Serif"/>
          <w:b w:val="false"/>
          <w:i w:val="false"/>
          <w:caps w:val="false"/>
          <w:smallCaps w:val="false"/>
          <w:sz w:val="20"/>
        </w:rPr>
        <w:t xml:space="preserve">” means the restructuring by the Company of its Indebtedness in accordance with </w:t>
      </w:r>
      <w:r>
        <w:rPr>
          <w:rFonts w:ascii="Times New Roman;Times;Serif" w:hAnsi="Times New Roman;Times;Serif"/>
          <w:b w:val="false"/>
          <w:i w:val="false"/>
          <w:caps w:val="false"/>
          <w:smallCaps w:val="false"/>
          <w:sz w:val="20"/>
          <w:u w:val="single"/>
        </w:rPr>
        <w:t>Section 2.3 and Exhibit 7.2(e),</w:t>
      </w:r>
      <w:r>
        <w:rPr>
          <w:rFonts w:ascii="Times New Roman;Times;Serif" w:hAnsi="Times New Roman;Times;Serif"/>
          <w:b w:val="false"/>
          <w:i w:val="false"/>
          <w:caps w:val="false"/>
          <w:smallCaps w:val="false"/>
          <w:sz w:val="20"/>
        </w:rPr>
        <w:t xml:space="preserve"> such that the aggregate amount of such Indebtedness, as of the Closing, does not exceed €3,000,000.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 “</w:t>
      </w:r>
      <w:r>
        <w:rPr>
          <w:rFonts w:ascii="Times New Roman;Times;Serif" w:hAnsi="Times New Roman;Times;Serif"/>
          <w:b w:val="false"/>
          <w:i w:val="false"/>
          <w:caps w:val="false"/>
          <w:smallCaps w:val="false"/>
          <w:sz w:val="20"/>
          <w:u w:val="single"/>
        </w:rPr>
        <w:t>Deed of Adherence</w:t>
      </w:r>
      <w:r>
        <w:rPr>
          <w:rFonts w:ascii="Times New Roman;Times;Serif" w:hAnsi="Times New Roman;Times;Serif"/>
          <w:b w:val="false"/>
          <w:i w:val="false"/>
          <w:caps w:val="false"/>
          <w:smallCaps w:val="false"/>
          <w:sz w:val="20"/>
        </w:rPr>
        <w:t>” has the meaning set forth in Section 10.3.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 “</w:t>
      </w:r>
      <w:r>
        <w:rPr>
          <w:rFonts w:ascii="Times New Roman;Times;Serif" w:hAnsi="Times New Roman;Times;Serif"/>
          <w:b w:val="false"/>
          <w:i w:val="false"/>
          <w:caps w:val="false"/>
          <w:smallCaps w:val="false"/>
          <w:sz w:val="20"/>
          <w:u w:val="single"/>
        </w:rPr>
        <w:t>Defense Notice</w:t>
      </w:r>
      <w:r>
        <w:rPr>
          <w:rFonts w:ascii="Times New Roman;Times;Serif" w:hAnsi="Times New Roman;Times;Serif"/>
          <w:b w:val="false"/>
          <w:i w:val="false"/>
          <w:caps w:val="false"/>
          <w:smallCaps w:val="false"/>
          <w:sz w:val="20"/>
        </w:rPr>
        <w:t>” has the meaning set forth in Section 8.7(b)(iii).</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 “</w:t>
      </w:r>
      <w:r>
        <w:rPr>
          <w:rFonts w:ascii="Times New Roman;Times;Serif" w:hAnsi="Times New Roman;Times;Serif"/>
          <w:b w:val="false"/>
          <w:i w:val="false"/>
          <w:caps w:val="false"/>
          <w:smallCaps w:val="false"/>
          <w:sz w:val="20"/>
          <w:u w:val="single"/>
        </w:rPr>
        <w:t>De Minimis Damages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8.3(a)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 “</w:t>
      </w:r>
      <w:r>
        <w:rPr>
          <w:rFonts w:ascii="Times New Roman;Times;Serif" w:hAnsi="Times New Roman;Times;Serif"/>
          <w:b w:val="false"/>
          <w:i w:val="false"/>
          <w:caps w:val="false"/>
          <w:smallCaps w:val="false"/>
          <w:sz w:val="20"/>
          <w:u w:val="single"/>
        </w:rPr>
        <w:t>Disclosure Update</w:t>
      </w:r>
      <w:r>
        <w:rPr>
          <w:rFonts w:ascii="Times New Roman;Times;Serif" w:hAnsi="Times New Roman;Times;Serif"/>
          <w:b w:val="false"/>
          <w:i w:val="false"/>
          <w:caps w:val="false"/>
          <w:smallCaps w:val="false"/>
          <w:sz w:val="20"/>
        </w:rPr>
        <w:t>” has the meaning set forth in Article III.</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 “</w:t>
      </w:r>
      <w:r>
        <w:rPr>
          <w:rFonts w:ascii="Times New Roman;Times;Serif" w:hAnsi="Times New Roman;Times;Serif"/>
          <w:b w:val="false"/>
          <w:i w:val="false"/>
          <w:caps w:val="false"/>
          <w:smallCaps w:val="false"/>
          <w:sz w:val="20"/>
          <w:u w:val="single"/>
        </w:rPr>
        <w:t>Earnout Consideration</w:t>
      </w:r>
      <w:r>
        <w:rPr>
          <w:rFonts w:ascii="Times New Roman;Times;Serif" w:hAnsi="Times New Roman;Times;Serif"/>
          <w:b w:val="false"/>
          <w:i w:val="false"/>
          <w:caps w:val="false"/>
          <w:smallCaps w:val="false"/>
          <w:sz w:val="20"/>
        </w:rPr>
        <w:t>” means the Commercial Milestone Consideration and/or the Regulatory Milestone Consideration.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 “</w:t>
      </w:r>
      <w:r>
        <w:rPr>
          <w:rFonts w:ascii="Times New Roman;Times;Serif" w:hAnsi="Times New Roman;Times;Serif"/>
          <w:b w:val="false"/>
          <w:i w:val="false"/>
          <w:caps w:val="false"/>
          <w:smallCaps w:val="false"/>
          <w:sz w:val="20"/>
          <w:u w:val="single"/>
        </w:rPr>
        <w:t>EIB</w:t>
      </w:r>
      <w:r>
        <w:rPr>
          <w:rFonts w:ascii="Times New Roman;Times;Serif" w:hAnsi="Times New Roman;Times;Serif"/>
          <w:b w:val="false"/>
          <w:i w:val="false"/>
          <w:caps w:val="false"/>
          <w:smallCaps w:val="false"/>
          <w:sz w:val="20"/>
        </w:rPr>
        <w:t>” means the European Investment Bank, having its seat at 100 blvd Konrad Adenauer, Luxembourg, L-2950 Luxembourg, and any of its Affiliates.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 “</w:t>
      </w:r>
      <w:r>
        <w:rPr>
          <w:rFonts w:ascii="Times New Roman;Times;Serif" w:hAnsi="Times New Roman;Times;Serif"/>
          <w:b w:val="false"/>
          <w:i w:val="false"/>
          <w:caps w:val="false"/>
          <w:smallCaps w:val="false"/>
          <w:sz w:val="20"/>
          <w:u w:val="single"/>
        </w:rPr>
        <w:t>Encumbrance</w:t>
      </w:r>
      <w:r>
        <w:rPr>
          <w:rFonts w:ascii="Times New Roman;Times;Serif" w:hAnsi="Times New Roman;Times;Serif"/>
          <w:b w:val="false"/>
          <w:i w:val="false"/>
          <w:caps w:val="false"/>
          <w:smallCaps w:val="false"/>
          <w:sz w:val="20"/>
        </w:rPr>
        <w:t>” means any lien, pledge, hypothecation, charge, mortgage, security interest, encumbrance, claim, right of possession, license, order, proxy, option, right of first refusal, preemptive right, legend, limitation, restriction of any nature, or restriction on the voting of any security, any restriction on the transfer of any security or other asset, and any restriction on the possession, exercise or transfer of any attribute of ownership of any asset.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 “</w:t>
      </w:r>
      <w:r>
        <w:rPr>
          <w:rFonts w:ascii="Times New Roman;Times;Serif" w:hAnsi="Times New Roman;Times;Serif"/>
          <w:b w:val="false"/>
          <w:i w:val="false"/>
          <w:caps w:val="false"/>
          <w:smallCaps w:val="false"/>
          <w:sz w:val="20"/>
          <w:u w:val="single"/>
        </w:rPr>
        <w:t>Employee Risk</w:t>
      </w:r>
      <w:r>
        <w:rPr>
          <w:rFonts w:ascii="Times New Roman;Times;Serif" w:hAnsi="Times New Roman;Times;Serif"/>
          <w:b w:val="false"/>
          <w:i w:val="false"/>
          <w:caps w:val="false"/>
          <w:smallCaps w:val="false"/>
          <w:sz w:val="20"/>
        </w:rPr>
        <w:t>” has the meaning set forth in the definition of Specific Risks.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 “</w:t>
      </w:r>
      <w:r>
        <w:rPr>
          <w:rFonts w:ascii="Times New Roman;Times;Serif" w:hAnsi="Times New Roman;Times;Serif"/>
          <w:b w:val="false"/>
          <w:i w:val="false"/>
          <w:caps w:val="false"/>
          <w:smallCaps w:val="false"/>
          <w:sz w:val="20"/>
          <w:u w:val="single"/>
        </w:rPr>
        <w:t>End Date</w:t>
      </w:r>
      <w:r>
        <w:rPr>
          <w:rFonts w:ascii="Times New Roman;Times;Serif" w:hAnsi="Times New Roman;Times;Serif"/>
          <w:b w:val="false"/>
          <w:i w:val="false"/>
          <w:caps w:val="false"/>
          <w:smallCaps w:val="false"/>
          <w:sz w:val="20"/>
        </w:rPr>
        <w:t>” has the meaning set forth in Section 9.1(c).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 “</w:t>
      </w:r>
      <w:r>
        <w:rPr>
          <w:rFonts w:ascii="Times New Roman;Times;Serif" w:hAnsi="Times New Roman;Times;Serif"/>
          <w:b w:val="false"/>
          <w:i w:val="false"/>
          <w:caps w:val="false"/>
          <w:smallCaps w:val="false"/>
          <w:sz w:val="20"/>
          <w:u w:val="single"/>
        </w:rPr>
        <w:t>Environmental Laws</w:t>
      </w:r>
      <w:r>
        <w:rPr>
          <w:rFonts w:ascii="Times New Roman;Times;Serif" w:hAnsi="Times New Roman;Times;Serif"/>
          <w:b w:val="false"/>
          <w:i w:val="false"/>
          <w:caps w:val="false"/>
          <w:smallCaps w:val="false"/>
          <w:sz w:val="20"/>
        </w:rPr>
        <w:t>” means any law, regulation, or other requirement, in each case applicable in the jurisdiction of residency or incorporation, as applicable, of the relevant Person, relating to (i) releases or threatened release of Hazardous Substance; (ii) pollution or protection of employee health or safety, public health or the environment; or (iii) the manufacture, handling, transport, use, treatment, storage, or disposal of Hazardous Substances.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 “</w:t>
      </w:r>
      <w:r>
        <w:rPr>
          <w:rFonts w:ascii="Times New Roman;Times;Serif" w:hAnsi="Times New Roman;Times;Serif"/>
          <w:b w:val="false"/>
          <w:i w:val="false"/>
          <w:caps w:val="false"/>
          <w:smallCaps w:val="false"/>
          <w:sz w:val="20"/>
          <w:u w:val="single"/>
        </w:rPr>
        <w:t>Equity Pre-Closing Transactions</w:t>
      </w:r>
      <w:r>
        <w:rPr>
          <w:rFonts w:ascii="Times New Roman;Times;Serif" w:hAnsi="Times New Roman;Times;Serif"/>
          <w:b w:val="false"/>
          <w:i w:val="false"/>
          <w:caps w:val="false"/>
          <w:smallCaps w:val="false"/>
          <w:sz w:val="20"/>
        </w:rPr>
        <w:t xml:space="preserve">” means the issuance of Shares in favor of EIB as a result of the Debt Restructuring as further described in </w:t>
      </w:r>
      <w:r>
        <w:rPr>
          <w:rFonts w:ascii="Times New Roman;Times;Serif" w:hAnsi="Times New Roman;Times;Serif"/>
          <w:b w:val="false"/>
          <w:i w:val="false"/>
          <w:caps w:val="false"/>
          <w:smallCaps w:val="false"/>
          <w:sz w:val="20"/>
          <w:u w:val="single"/>
        </w:rPr>
        <w:t>Exhibit 7.2(e)</w:t>
      </w:r>
      <w:r>
        <w:rPr>
          <w:rFonts w:ascii="Times New Roman;Times;Serif" w:hAnsi="Times New Roman;Times;Serif"/>
          <w:b w:val="false"/>
          <w:i w:val="false"/>
          <w:caps w:val="false"/>
          <w:smallCaps w:val="false"/>
          <w:sz w:val="20"/>
        </w:rPr>
        <w:t>, as well as any other operation affecting the Company’s share capital (including transfers of Securities authorized pursuant to Section 10.3(a).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 “</w:t>
      </w:r>
      <w:r>
        <w:rPr>
          <w:rFonts w:ascii="Times New Roman;Times;Serif" w:hAnsi="Times New Roman;Times;Serif"/>
          <w:b w:val="false"/>
          <w:i w:val="false"/>
          <w:caps w:val="false"/>
          <w:smallCaps w:val="false"/>
          <w:sz w:val="20"/>
          <w:u w:val="single"/>
        </w:rPr>
        <w:t>Employment Warranties</w:t>
      </w:r>
      <w:r>
        <w:rPr>
          <w:rFonts w:ascii="Times New Roman;Times;Serif" w:hAnsi="Times New Roman;Times;Serif"/>
          <w:b w:val="false"/>
          <w:i w:val="false"/>
          <w:caps w:val="false"/>
          <w:smallCaps w:val="false"/>
          <w:sz w:val="20"/>
        </w:rPr>
        <w:t>” means the representations and warranties set forth in Section 3.15;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 “</w:t>
      </w:r>
      <w:r>
        <w:rPr>
          <w:rFonts w:ascii="Times New Roman;Times;Serif" w:hAnsi="Times New Roman;Times;Serif"/>
          <w:b w:val="false"/>
          <w:i w:val="false"/>
          <w:caps w:val="false"/>
          <w:smallCaps w:val="false"/>
          <w:sz w:val="20"/>
          <w:u w:val="single"/>
        </w:rPr>
        <w:t>Environmental Warranties</w:t>
      </w:r>
      <w:r>
        <w:rPr>
          <w:rFonts w:ascii="Times New Roman;Times;Serif" w:hAnsi="Times New Roman;Times;Serif"/>
          <w:b w:val="false"/>
          <w:i w:val="false"/>
          <w:caps w:val="false"/>
          <w:smallCaps w:val="false"/>
          <w:sz w:val="20"/>
        </w:rPr>
        <w:t>” means the representations and warranties set forth in Section 3.21;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 “</w:t>
      </w:r>
      <w:r>
        <w:rPr>
          <w:rFonts w:ascii="Times New Roman;Times;Serif" w:hAnsi="Times New Roman;Times;Serif"/>
          <w:b w:val="false"/>
          <w:i w:val="false"/>
          <w:caps w:val="false"/>
          <w:smallCaps w:val="false"/>
          <w:sz w:val="20"/>
          <w:u w:val="single"/>
        </w:rPr>
        <w:t>Escrow Amount</w:t>
      </w:r>
      <w:r>
        <w:rPr>
          <w:rFonts w:ascii="Times New Roman;Times;Serif" w:hAnsi="Times New Roman;Times;Serif"/>
          <w:b w:val="false"/>
          <w:i w:val="false"/>
          <w:caps w:val="false"/>
          <w:smallCaps w:val="false"/>
          <w:sz w:val="20"/>
        </w:rPr>
        <w:t>” has the meaning set forth in Section 1.2(d).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 “</w:t>
      </w:r>
      <w:r>
        <w:rPr>
          <w:rFonts w:ascii="Times New Roman;Times;Serif" w:hAnsi="Times New Roman;Times;Serif"/>
          <w:b w:val="false"/>
          <w:i w:val="false"/>
          <w:caps w:val="false"/>
          <w:smallCaps w:val="false"/>
          <w:sz w:val="20"/>
          <w:u w:val="single"/>
        </w:rPr>
        <w:t>Estimated Upfront Consideration</w:t>
      </w:r>
      <w:r>
        <w:rPr>
          <w:rFonts w:ascii="Times New Roman;Times;Serif" w:hAnsi="Times New Roman;Times;Serif"/>
          <w:b w:val="false"/>
          <w:i w:val="false"/>
          <w:caps w:val="false"/>
          <w:smallCaps w:val="false"/>
          <w:sz w:val="20"/>
        </w:rPr>
        <w:t>” means an amount equal to (a) $20,000,000 (Twenty Million United States Dollars), minus (b) the Estimated Closing Indebtedness , minus (c) the amount (if any) by which Target Working Capital exceeds Estimated Closing Working Capital, minus (d) the Interim Financing provided by Purchaser to Company between Signing and Closing, minus (e) $[***] as part of the cost (premium, including the relevant associated insurer’s advisory and broker costs excluding applicable Taxes) of the W&amp;I Policy, minus (f) the Specific Risks Deduction, minus (g) the Transaction Expenses and minus (h) the Escrow Amount.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 “</w:t>
      </w:r>
      <w:r>
        <w:rPr>
          <w:rFonts w:ascii="Times New Roman;Times;Serif" w:hAnsi="Times New Roman;Times;Serif"/>
          <w:b w:val="false"/>
          <w:i w:val="false"/>
          <w:caps w:val="false"/>
          <w:smallCaps w:val="false"/>
          <w:sz w:val="20"/>
          <w:u w:val="single"/>
        </w:rPr>
        <w:t>Estimated Closing Indebtedness</w:t>
      </w:r>
      <w:r>
        <w:rPr>
          <w:rFonts w:ascii="Times New Roman;Times;Serif" w:hAnsi="Times New Roman;Times;Serif"/>
          <w:b w:val="false"/>
          <w:i w:val="false"/>
          <w:caps w:val="false"/>
          <w:smallCaps w:val="false"/>
          <w:sz w:val="20"/>
        </w:rPr>
        <w:t>” has the meaning set forth in Section 1.3(b).</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 “</w:t>
      </w:r>
      <w:r>
        <w:rPr>
          <w:rFonts w:ascii="Times New Roman;Times;Serif" w:hAnsi="Times New Roman;Times;Serif"/>
          <w:b w:val="false"/>
          <w:i w:val="false"/>
          <w:caps w:val="false"/>
          <w:smallCaps w:val="false"/>
          <w:sz w:val="20"/>
          <w:u w:val="single"/>
        </w:rPr>
        <w:t>Estimated Closing Working Capital</w:t>
      </w:r>
      <w:r>
        <w:rPr>
          <w:rFonts w:ascii="Times New Roman;Times;Serif" w:hAnsi="Times New Roman;Times;Serif"/>
          <w:b w:val="false"/>
          <w:i w:val="false"/>
          <w:caps w:val="false"/>
          <w:smallCaps w:val="false"/>
          <w:sz w:val="20"/>
        </w:rPr>
        <w:t>” has the meaning set forth in Section 1.3(b).</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 “</w:t>
      </w:r>
      <w:r>
        <w:rPr>
          <w:rFonts w:ascii="Times New Roman;Times;Serif" w:hAnsi="Times New Roman;Times;Serif"/>
          <w:b w:val="false"/>
          <w:i w:val="false"/>
          <w:caps w:val="false"/>
          <w:smallCaps w:val="false"/>
          <w:sz w:val="20"/>
          <w:u w:val="single"/>
        </w:rPr>
        <w:t>Exchange Act</w:t>
      </w:r>
      <w:r>
        <w:rPr>
          <w:rFonts w:ascii="Times New Roman;Times;Serif" w:hAnsi="Times New Roman;Times;Serif"/>
          <w:b w:val="false"/>
          <w:i w:val="false"/>
          <w:caps w:val="false"/>
          <w:smallCaps w:val="false"/>
          <w:sz w:val="20"/>
        </w:rPr>
        <w:t>” means the Securities Exchange Act of 1934.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 “</w:t>
      </w:r>
      <w:r>
        <w:rPr>
          <w:rFonts w:ascii="Times New Roman;Times;Serif" w:hAnsi="Times New Roman;Times;Serif"/>
          <w:b w:val="false"/>
          <w:i w:val="false"/>
          <w:caps w:val="false"/>
          <w:smallCaps w:val="false"/>
          <w:sz w:val="20"/>
          <w:u w:val="single"/>
        </w:rPr>
        <w:t>FDA</w:t>
      </w:r>
      <w:r>
        <w:rPr>
          <w:rFonts w:ascii="Times New Roman;Times;Serif" w:hAnsi="Times New Roman;Times;Serif"/>
          <w:b w:val="false"/>
          <w:i w:val="false"/>
          <w:caps w:val="false"/>
          <w:smallCaps w:val="false"/>
          <w:sz w:val="20"/>
        </w:rPr>
        <w:t>” means the U.S. Food and Drug Administration or any successor Governmental Entity thereto.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 “</w:t>
      </w:r>
      <w:r>
        <w:rPr>
          <w:rFonts w:ascii="Times New Roman;Times;Serif" w:hAnsi="Times New Roman;Times;Serif"/>
          <w:b w:val="false"/>
          <w:i w:val="false"/>
          <w:caps w:val="false"/>
          <w:smallCaps w:val="false"/>
          <w:sz w:val="20"/>
          <w:u w:val="single"/>
        </w:rPr>
        <w:t>FDA Act</w:t>
      </w:r>
      <w:r>
        <w:rPr>
          <w:rFonts w:ascii="Times New Roman;Times;Serif" w:hAnsi="Times New Roman;Times;Serif"/>
          <w:b w:val="false"/>
          <w:i w:val="false"/>
          <w:caps w:val="false"/>
          <w:smallCaps w:val="false"/>
          <w:sz w:val="20"/>
        </w:rPr>
        <w:t>” means the U.S. Federal Food, Drug, and Cosmetic Act (21 U.S.C. §§301 et seq.), as amended.</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 “</w:t>
      </w:r>
      <w:r>
        <w:rPr>
          <w:rFonts w:ascii="Times New Roman;Times;Serif" w:hAnsi="Times New Roman;Times;Serif"/>
          <w:b w:val="false"/>
          <w:i w:val="false"/>
          <w:caps w:val="false"/>
          <w:smallCaps w:val="false"/>
          <w:sz w:val="20"/>
          <w:u w:val="single"/>
        </w:rPr>
        <w:t>FDA Regulatory Approval</w:t>
      </w:r>
      <w:r>
        <w:rPr>
          <w:rFonts w:ascii="Times New Roman;Times;Serif" w:hAnsi="Times New Roman;Times;Serif"/>
          <w:b w:val="false"/>
          <w:i w:val="false"/>
          <w:caps w:val="false"/>
          <w:smallCaps w:val="false"/>
          <w:sz w:val="20"/>
        </w:rPr>
        <w:t xml:space="preserve">” means written notice from the FDA of (i) approval of a premarket approval application, or PMA (or PMA supplement, as applicable), (ii) classification pursuant to a de novo classification request, or (iii) substantial equivalence order (or clearance) of a 510(k) premarket notification, as applicable, in each case </w:t>
      </w:r>
      <w:r>
        <w:rPr>
          <w:rFonts w:ascii="Times New Roman;Times;Serif" w:hAnsi="Times New Roman;Times;Serif"/>
          <w:b w:val="false"/>
          <w:i w:val="false"/>
          <w:caps w:val="false"/>
          <w:smallCaps w:val="false"/>
          <w:sz w:val="20"/>
          <w:u w:val="single"/>
        </w:rPr>
        <w:t>as necessary and sufficient to permit the marketing and commercial sale</w:t>
      </w:r>
      <w:r>
        <w:rPr>
          <w:rFonts w:ascii="Times New Roman;Times;Serif" w:hAnsi="Times New Roman;Times;Serif"/>
          <w:b w:val="false"/>
          <w:i w:val="false"/>
          <w:caps w:val="false"/>
          <w:smallCaps w:val="false"/>
          <w:sz w:val="20"/>
        </w:rPr>
        <w:t xml:space="preserve"> by the Company of the R-Two C in the Lead Indication or the R-Two C or any Successor Product in the Lead Indication or [***] procedures (whichever occurs first), in the United States.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(77) “</w:t>
      </w:r>
      <w:r>
        <w:rPr>
          <w:rFonts w:ascii="Times New Roman;Times;Serif" w:hAnsi="Times New Roman;Times;Serif"/>
          <w:b w:val="false"/>
          <w:i w:val="false"/>
          <w:caps w:val="false"/>
          <w:smallCaps w:val="false"/>
          <w:sz w:val="20"/>
          <w:u w:val="single"/>
        </w:rPr>
        <w:t>FDI Authority</w:t>
      </w:r>
      <w:r>
        <w:rPr>
          <w:rFonts w:ascii="Times New Roman;Times;Serif" w:hAnsi="Times New Roman;Times;Serif"/>
          <w:b w:val="false"/>
          <w:i w:val="false"/>
          <w:caps w:val="false"/>
          <w:smallCaps w:val="false"/>
          <w:sz w:val="20"/>
        </w:rPr>
        <w:t>” means the French Minister of Economy and Finance, and Industrial and Digital Sovereignty.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(78) “</w:t>
      </w:r>
      <w:r>
        <w:rPr>
          <w:rFonts w:ascii="Times New Roman;Times;Serif" w:hAnsi="Times New Roman;Times;Serif"/>
          <w:b w:val="false"/>
          <w:i w:val="false"/>
          <w:caps w:val="false"/>
          <w:smallCaps w:val="false"/>
          <w:sz w:val="20"/>
          <w:u w:val="single"/>
        </w:rPr>
        <w:t>FDI Clearance</w:t>
      </w:r>
      <w:r>
        <w:rPr>
          <w:rFonts w:ascii="Times New Roman;Times;Serif" w:hAnsi="Times New Roman;Times;Serif"/>
          <w:b w:val="false"/>
          <w:i w:val="false"/>
          <w:caps w:val="false"/>
          <w:smallCaps w:val="false"/>
          <w:sz w:val="20"/>
        </w:rPr>
        <w:t>” means (i) the unconditional approval (</w:t>
      </w:r>
      <w:r>
        <w:rPr>
          <w:rFonts w:ascii="Times New Roman;Times;Serif" w:hAnsi="Times New Roman;Times;Serif"/>
          <w:b w:val="false"/>
          <w:i/>
          <w:caps w:val="false"/>
          <w:smallCaps w:val="false"/>
          <w:sz w:val="20"/>
        </w:rPr>
        <w:t>autorisation sans condition</w:t>
      </w:r>
      <w:r>
        <w:rPr>
          <w:rFonts w:ascii="Times New Roman;Times;Serif" w:hAnsi="Times New Roman;Times;Serif"/>
          <w:b w:val="false"/>
          <w:i w:val="false"/>
          <w:caps w:val="false"/>
          <w:smallCaps w:val="false"/>
          <w:sz w:val="20"/>
        </w:rPr>
        <w:t>), (ii) the approval subject only to conditions provided that such conditions are agreed by the Purchaser or that they are limited to (a) maintaining the Company as a distinct entity registered in France after the Closing for a period of time that shall not exceed 5 years or any other time expressly agreed by the Purchaser, (b) maintaining at least 50% of current employees dedicated to the R&amp;D, regulatory affairs or marketing of the R-Two Products in France after the Closing for a period of time that shall not exceed 2 years or any other time expressly agreed by the Purchaser and/or (c) being prevented from transferring the ownership of the key Intellectual Property Rights of the Company (including all patents and patents applications) existing at Closing outside France for a period of time that shall not exceed 5 years or any other time expressly agreed by the Purchaser, (iii) formal confirmation that the Transactions contemplated under this Agreement are not subject to review (</w:t>
      </w:r>
      <w:r>
        <w:rPr>
          <w:rFonts w:ascii="Times New Roman;Times;Serif" w:hAnsi="Times New Roman;Times;Serif"/>
          <w:b w:val="false"/>
          <w:i/>
          <w:caps w:val="false"/>
          <w:smallCaps w:val="false"/>
          <w:sz w:val="20"/>
        </w:rPr>
        <w:t>décision hors champ</w:t>
      </w:r>
      <w:r>
        <w:rPr>
          <w:rFonts w:ascii="Times New Roman;Times;Serif" w:hAnsi="Times New Roman;Times;Serif"/>
          <w:b w:val="false"/>
          <w:i w:val="false"/>
          <w:caps w:val="false"/>
          <w:smallCaps w:val="false"/>
          <w:sz w:val="20"/>
        </w:rPr>
        <w:t>), by the FDI Authority.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(79) “</w:t>
      </w:r>
      <w:r>
        <w:rPr>
          <w:rFonts w:ascii="Times New Roman;Times;Serif" w:hAnsi="Times New Roman;Times;Serif"/>
          <w:b w:val="false"/>
          <w:i w:val="false"/>
          <w:caps w:val="false"/>
          <w:smallCaps w:val="false"/>
          <w:sz w:val="20"/>
          <w:u w:val="single"/>
        </w:rPr>
        <w:t>Final Specific Risk Amount</w:t>
      </w:r>
      <w:r>
        <w:rPr>
          <w:rFonts w:ascii="Times New Roman;Times;Serif" w:hAnsi="Times New Roman;Times;Serif"/>
          <w:b w:val="false"/>
          <w:i w:val="false"/>
          <w:caps w:val="false"/>
          <w:smallCaps w:val="false"/>
          <w:sz w:val="20"/>
        </w:rPr>
        <w:t>” has the meaning set forth in Section 8.6(d).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 “</w:t>
      </w:r>
      <w:r>
        <w:rPr>
          <w:rFonts w:ascii="Times New Roman;Times;Serif" w:hAnsi="Times New Roman;Times;Serif"/>
          <w:b w:val="false"/>
          <w:i w:val="false"/>
          <w:caps w:val="false"/>
          <w:smallCaps w:val="false"/>
          <w:sz w:val="20"/>
          <w:u w:val="single"/>
        </w:rPr>
        <w:t>FDI Filing</w:t>
      </w:r>
      <w:r>
        <w:rPr>
          <w:rFonts w:ascii="Times New Roman;Times;Serif" w:hAnsi="Times New Roman;Times;Serif"/>
          <w:b w:val="false"/>
          <w:i w:val="false"/>
          <w:caps w:val="false"/>
          <w:smallCaps w:val="false"/>
          <w:sz w:val="20"/>
        </w:rPr>
        <w:t>” has the meaning set forth in Section 7.1(b).</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 “</w:t>
      </w:r>
      <w:r>
        <w:rPr>
          <w:rFonts w:ascii="Times New Roman;Times;Serif" w:hAnsi="Times New Roman;Times;Serif"/>
          <w:b w:val="false"/>
          <w:i w:val="false"/>
          <w:caps w:val="false"/>
          <w:smallCaps w:val="false"/>
          <w:sz w:val="20"/>
          <w:u w:val="single"/>
        </w:rPr>
        <w:t>Final Working Capital Amount</w:t>
      </w:r>
      <w:r>
        <w:rPr>
          <w:rFonts w:ascii="Times New Roman;Times;Serif" w:hAnsi="Times New Roman;Times;Serif"/>
          <w:b w:val="false"/>
          <w:i w:val="false"/>
          <w:caps w:val="false"/>
          <w:smallCaps w:val="false"/>
          <w:sz w:val="20"/>
        </w:rPr>
        <w:t>” has the meaning set forth in Section 1.4.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 “</w:t>
      </w:r>
      <w:r>
        <w:rPr>
          <w:rFonts w:ascii="Times New Roman;Times;Serif" w:hAnsi="Times New Roman;Times;Serif"/>
          <w:b w:val="false"/>
          <w:i w:val="false"/>
          <w:caps w:val="false"/>
          <w:smallCaps w:val="false"/>
          <w:sz w:val="20"/>
          <w:u w:val="single"/>
        </w:rPr>
        <w:t>Form 8-K Financial Statements</w:t>
      </w:r>
      <w:r>
        <w:rPr>
          <w:rFonts w:ascii="Times New Roman;Times;Serif" w:hAnsi="Times New Roman;Times;Serif"/>
          <w:b w:val="false"/>
          <w:i w:val="false"/>
          <w:caps w:val="false"/>
          <w:smallCaps w:val="false"/>
          <w:sz w:val="20"/>
        </w:rPr>
        <w:t>” has the meaning set forth in Section 6.15(a).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 “</w:t>
      </w:r>
      <w:r>
        <w:rPr>
          <w:rFonts w:ascii="Times New Roman;Times;Serif" w:hAnsi="Times New Roman;Times;Serif"/>
          <w:b w:val="false"/>
          <w:i w:val="false"/>
          <w:caps w:val="false"/>
          <w:smallCaps w:val="false"/>
          <w:sz w:val="20"/>
          <w:u w:val="single"/>
        </w:rPr>
        <w:t>Fraud</w:t>
      </w:r>
      <w:r>
        <w:rPr>
          <w:rFonts w:ascii="Times New Roman;Times;Serif" w:hAnsi="Times New Roman;Times;Serif"/>
          <w:b w:val="false"/>
          <w:i w:val="false"/>
          <w:caps w:val="false"/>
          <w:smallCaps w:val="false"/>
          <w:sz w:val="20"/>
        </w:rPr>
        <w:t>” means an intentional misrepresentation by a Person with respect to the representations and warranties set forth in Article III, IV and V of this Agreement made with actual (and not constructive or imputed) knowledge of the falsity of such misrepresentation and with the conscious intention of deceiving the Person to whom the representations and warranties are made and with the intent that such Person relies on such representations and warranties to its detriment.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 “</w:t>
      </w:r>
      <w:r>
        <w:rPr>
          <w:rFonts w:ascii="Times New Roman;Times;Serif" w:hAnsi="Times New Roman;Times;Serif"/>
          <w:b w:val="false"/>
          <w:i w:val="false"/>
          <w:caps w:val="false"/>
          <w:smallCaps w:val="false"/>
          <w:sz w:val="20"/>
          <w:u w:val="single"/>
        </w:rPr>
        <w:t>Fundamental Warranties</w:t>
      </w:r>
      <w:r>
        <w:rPr>
          <w:rFonts w:ascii="Times New Roman;Times;Serif" w:hAnsi="Times New Roman;Times;Serif"/>
          <w:b w:val="false"/>
          <w:i w:val="false"/>
          <w:caps w:val="false"/>
          <w:smallCaps w:val="false"/>
          <w:sz w:val="20"/>
        </w:rPr>
        <w:t>” means (i) the representations and warranties set forth in Article III under Section 3.1 to Section 3.5 and Section 3.16, Section 3.20 and Section 3.23, (ii) the representations and warranties set forth in Article IV, and (iii) the representations and warranties set forth in Article V under Section 5.1 to Section 5.3, Section 5.5;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 “</w:t>
      </w:r>
      <w:r>
        <w:rPr>
          <w:rFonts w:ascii="Times New Roman;Times;Serif" w:hAnsi="Times New Roman;Times;Serif"/>
          <w:b w:val="false"/>
          <w:i w:val="false"/>
          <w:caps w:val="false"/>
          <w:smallCaps w:val="false"/>
          <w:sz w:val="20"/>
          <w:u w:val="single"/>
        </w:rPr>
        <w:t>GAAP</w:t>
      </w:r>
      <w:r>
        <w:rPr>
          <w:rFonts w:ascii="Times New Roman;Times;Serif" w:hAnsi="Times New Roman;Times;Serif"/>
          <w:b w:val="false"/>
          <w:i w:val="false"/>
          <w:caps w:val="false"/>
          <w:smallCaps w:val="false"/>
          <w:sz w:val="20"/>
        </w:rPr>
        <w:t>” means (i) with respect to Company, French GAAP or (ii) with respect to Purchaser, United States generally accepted accounting principles, in each case, consistently applied.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(86) “</w:t>
      </w:r>
      <w:r>
        <w:rPr>
          <w:rFonts w:ascii="Times New Roman;Times;Serif" w:hAnsi="Times New Roman;Times;Serif"/>
          <w:b w:val="false"/>
          <w:i w:val="false"/>
          <w:caps w:val="false"/>
          <w:smallCaps w:val="false"/>
          <w:sz w:val="20"/>
          <w:u w:val="single"/>
        </w:rPr>
        <w:t>Global Cap</w:t>
      </w:r>
      <w:r>
        <w:rPr>
          <w:rFonts w:ascii="Times New Roman;Times;Serif" w:hAnsi="Times New Roman;Times;Serif"/>
          <w:b w:val="false"/>
          <w:i w:val="false"/>
          <w:caps w:val="false"/>
          <w:smallCaps w:val="false"/>
          <w:sz w:val="20"/>
        </w:rPr>
        <w:t>” has the meaning set forth in Section 6.12.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(87) “</w:t>
      </w:r>
      <w:r>
        <w:rPr>
          <w:rFonts w:ascii="Times New Roman;Times;Serif" w:hAnsi="Times New Roman;Times;Serif"/>
          <w:b w:val="false"/>
          <w:i w:val="false"/>
          <w:caps w:val="false"/>
          <w:smallCaps w:val="false"/>
          <w:sz w:val="20"/>
          <w:u w:val="single"/>
        </w:rPr>
        <w:t>Governmental Entity</w:t>
      </w:r>
      <w:r>
        <w:rPr>
          <w:rFonts w:ascii="Times New Roman;Times;Serif" w:hAnsi="Times New Roman;Times;Serif"/>
          <w:b w:val="false"/>
          <w:i w:val="false"/>
          <w:caps w:val="false"/>
          <w:smallCaps w:val="false"/>
          <w:sz w:val="20"/>
        </w:rPr>
        <w:t>” means any nation or government, any state or other instrumentality or political subdivision thereof (including any county or city), and any entity exercising executive, legislative, judicial, military, regulatory or administrative functions of or pertaining to government.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(88) “</w:t>
      </w:r>
      <w:r>
        <w:rPr>
          <w:rFonts w:ascii="Times New Roman;Times;Serif" w:hAnsi="Times New Roman;Times;Serif"/>
          <w:b w:val="false"/>
          <w:i w:val="false"/>
          <w:caps w:val="false"/>
          <w:smallCaps w:val="false"/>
          <w:sz w:val="20"/>
          <w:u w:val="single"/>
        </w:rPr>
        <w:t>Grace Period</w:t>
      </w:r>
      <w:r>
        <w:rPr>
          <w:rFonts w:ascii="Times New Roman;Times;Serif" w:hAnsi="Times New Roman;Times;Serif"/>
          <w:b w:val="false"/>
          <w:i w:val="false"/>
          <w:caps w:val="false"/>
          <w:smallCaps w:val="false"/>
          <w:sz w:val="20"/>
        </w:rPr>
        <w:t>” has the meaning set forth in Section 6.15(a).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(89) “</w:t>
      </w:r>
      <w:r>
        <w:rPr>
          <w:rFonts w:ascii="Times New Roman;Times;Serif" w:hAnsi="Times New Roman;Times;Serif"/>
          <w:b w:val="false"/>
          <w:i w:val="false"/>
          <w:caps w:val="false"/>
          <w:smallCaps w:val="false"/>
          <w:sz w:val="20"/>
          <w:u w:val="single"/>
        </w:rPr>
        <w:t>Hazardous Substance</w:t>
      </w:r>
      <w:r>
        <w:rPr>
          <w:rFonts w:ascii="Times New Roman;Times;Serif" w:hAnsi="Times New Roman;Times;Serif"/>
          <w:b w:val="false"/>
          <w:i w:val="false"/>
          <w:caps w:val="false"/>
          <w:smallCaps w:val="false"/>
          <w:sz w:val="20"/>
        </w:rPr>
        <w:t>” has the meaning set forth in Section 3.21.</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 “</w:t>
      </w:r>
      <w:r>
        <w:rPr>
          <w:rFonts w:ascii="Times New Roman;Times;Serif" w:hAnsi="Times New Roman;Times;Serif"/>
          <w:b w:val="false"/>
          <w:i w:val="false"/>
          <w:caps w:val="false"/>
          <w:smallCaps w:val="false"/>
          <w:sz w:val="20"/>
          <w:u w:val="single"/>
        </w:rPr>
        <w:t>Health Care Laws</w:t>
      </w:r>
      <w:r>
        <w:rPr>
          <w:rFonts w:ascii="Times New Roman;Times;Serif" w:hAnsi="Times New Roman;Times;Serif"/>
          <w:b w:val="false"/>
          <w:i w:val="false"/>
          <w:caps w:val="false"/>
          <w:smallCaps w:val="false"/>
          <w:sz w:val="20"/>
        </w:rPr>
        <w:t>” means (a) the FDA Act and the regulations promulgated thereunder, (b) the Public Health Service Act (42 U.S.C. §201 et seq.), and the regulations promulgated thereunder, (c) all federal and state fraud and abuse laws, including the Federal Anti-Kickback Statute (42 U.S.C. §1320a-7b(b)), the civil False Claims Act (31 U.S.C. §3729 et seq.), the administrative False Claims Law (42 U.S.C. §1320a-7b(a)), the Anti-Inducement Law (42 U.S.C. §1320a-7a(a)(5)), the exclusion laws (42 U.S.C. §1320a-7), and the regulations promulgated pursuant to such statutes, (d) the Health Insurance Portability and Accountability Act of 1996 (42 U.S.C. §§1320d et seq.), as amended by the Health Information, Technology for Economic and Clinical Health Act of 2009, the regulations promulgated thereunder and comparable state laws, (e) the Controlled Substances Act (21 U.S.C. §801 et seq.), (f) applicable provisions of Titles XVIII (42 U.S.C. §1395 et seq.) and XIX (42 U.S.C. §1396 et seq.) of the Social Security Act and the regulations promulgated thereunder, and (g) all applicable laws, rules and regulations, ordinances, judgments, decrees, orders, writs and injunctions administered by the FDA and other Governmental Entities that regulate the design, development, testing, studying, manufacturing, processing, storing, importing or exporting, licensing, labeling or packaging, distributing or marketing of pharmaceutical products, or related to kickbacks, patient or program charges, recordkeeping, claims process, documentation requirements, medical necessity, referrals, the hiring of employees or acquisition of services or supplies from those who have been excluded from government health care programs, quality, safety, privacy, security, licensure, accreditation or any other aspect of providing health care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 “</w:t>
      </w:r>
      <w:r>
        <w:rPr>
          <w:rFonts w:ascii="Times New Roman;Times;Serif" w:hAnsi="Times New Roman;Times;Serif"/>
          <w:b w:val="false"/>
          <w:i w:val="false"/>
          <w:caps w:val="false"/>
          <w:smallCaps w:val="false"/>
          <w:sz w:val="20"/>
          <w:u w:val="single"/>
        </w:rPr>
        <w:t>IFRS</w:t>
      </w:r>
      <w:r>
        <w:rPr>
          <w:rFonts w:ascii="Times New Roman;Times;Serif" w:hAnsi="Times New Roman;Times;Serif"/>
          <w:b w:val="false"/>
          <w:i w:val="false"/>
          <w:caps w:val="false"/>
          <w:smallCaps w:val="false"/>
          <w:sz w:val="20"/>
        </w:rPr>
        <w:t>” means international financial reporting standards as adopted by the International Accounting Standards Board.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 “</w:t>
      </w:r>
      <w:r>
        <w:rPr>
          <w:rFonts w:ascii="Times New Roman;Times;Serif" w:hAnsi="Times New Roman;Times;Serif"/>
          <w:b w:val="false"/>
          <w:i w:val="false"/>
          <w:caps w:val="false"/>
          <w:smallCaps w:val="false"/>
          <w:sz w:val="20"/>
          <w:u w:val="single"/>
        </w:rPr>
        <w:t>IF Bond Terms</w:t>
      </w:r>
      <w:r>
        <w:rPr>
          <w:rFonts w:ascii="Times New Roman;Times;Serif" w:hAnsi="Times New Roman;Times;Serif"/>
          <w:b w:val="false"/>
          <w:i w:val="false"/>
          <w:caps w:val="false"/>
          <w:smallCaps w:val="false"/>
          <w:sz w:val="20"/>
        </w:rPr>
        <w:t>” has the meaning set forth in Section 6.12.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 “</w:t>
      </w:r>
      <w:r>
        <w:rPr>
          <w:rFonts w:ascii="Times New Roman;Times;Serif" w:hAnsi="Times New Roman;Times;Serif"/>
          <w:b w:val="false"/>
          <w:i w:val="false"/>
          <w:caps w:val="false"/>
          <w:smallCaps w:val="false"/>
          <w:sz w:val="20"/>
          <w:u w:val="single"/>
        </w:rPr>
        <w:t>IF Bonds</w:t>
      </w:r>
      <w:r>
        <w:rPr>
          <w:rFonts w:ascii="Times New Roman;Times;Serif" w:hAnsi="Times New Roman;Times;Serif"/>
          <w:b w:val="false"/>
          <w:i w:val="false"/>
          <w:caps w:val="false"/>
          <w:smallCaps w:val="false"/>
          <w:sz w:val="20"/>
        </w:rPr>
        <w:t>” has the meaning set forth in Section 6.12.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(94) “</w:t>
      </w:r>
      <w:r>
        <w:rPr>
          <w:rFonts w:ascii="Times New Roman;Times;Serif" w:hAnsi="Times New Roman;Times;Serif"/>
          <w:b w:val="false"/>
          <w:i w:val="false"/>
          <w:caps w:val="false"/>
          <w:smallCaps w:val="false"/>
          <w:sz w:val="20"/>
          <w:u w:val="single"/>
        </w:rPr>
        <w:t>IF Issuance Date</w:t>
      </w:r>
      <w:r>
        <w:rPr>
          <w:rFonts w:ascii="Times New Roman;Times;Serif" w:hAnsi="Times New Roman;Times;Serif"/>
          <w:b w:val="false"/>
          <w:i w:val="false"/>
          <w:caps w:val="false"/>
          <w:smallCaps w:val="false"/>
          <w:sz w:val="20"/>
        </w:rPr>
        <w:t>” has the meaning set forth in Section 6.12.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(95) “</w:t>
      </w:r>
      <w:r>
        <w:rPr>
          <w:rFonts w:ascii="Times New Roman;Times;Serif" w:hAnsi="Times New Roman;Times;Serif"/>
          <w:b w:val="false"/>
          <w:i w:val="false"/>
          <w:caps w:val="false"/>
          <w:smallCaps w:val="false"/>
          <w:sz w:val="20"/>
          <w:u w:val="single"/>
        </w:rPr>
        <w:t>Indebtedness</w:t>
      </w:r>
      <w:r>
        <w:rPr>
          <w:rFonts w:ascii="Times New Roman;Times;Serif" w:hAnsi="Times New Roman;Times;Serif"/>
          <w:b w:val="false"/>
          <w:i w:val="false"/>
          <w:caps w:val="false"/>
          <w:smallCaps w:val="false"/>
          <w:sz w:val="20"/>
        </w:rPr>
        <w:t xml:space="preserve">” of any Person means, without duplication (including with the calculation of the Working Capital), (a) all Liabilities of such Person created, issued, or incurred for borrowed money (including the current portion thereof); (b) all obligations of such Person to pay the deferred purchase price or acquisition price of property or services, or similar payment, to the extent constituting a Liability (other than accrued expenses and trade accounts payable incurred in the ordinary course of business of such Person that are not more than 60 days past due), including any “earnout” or similar payments or any non-compete payments; (c) all Liabilities of such Person evidenced by a note, bond, debenture, or similar Contract (including a purchase money obligation); (d) all Liabilities of such Person under any interest rate swap, hedging, or similar agreements; (e) obligations to any Affiliate of Seller; (f) any liability arising out of relationships with the Joint Venture other than presently included in the Balance Sheet, financial partnerships, structured finance, special purpose entities, and trading activities involving non-exchange traded contracts ; (g) all obligations of another Person of the nature listed in </w:t>
      </w:r>
      <w:r>
        <w:rPr>
          <w:rFonts w:ascii="Times New Roman;Times;Serif" w:hAnsi="Times New Roman;Times;Serif"/>
          <w:b w:val="false"/>
          <w:i w:val="false"/>
          <w:caps w:val="false"/>
          <w:smallCaps w:val="false"/>
          <w:sz w:val="20"/>
          <w:u w:val="single"/>
        </w:rPr>
        <w:t>clauses (a)</w:t>
      </w:r>
      <w:r>
        <w:rPr>
          <w:rFonts w:ascii="Times New Roman;Times;Serif" w:hAnsi="Times New Roman;Times;Serif"/>
          <w:b w:val="false"/>
          <w:i w:val="false"/>
          <w:caps w:val="false"/>
          <w:smallCaps w:val="false"/>
          <w:sz w:val="20"/>
        </w:rPr>
        <w:t xml:space="preserve"> through </w:t>
      </w:r>
      <w:r>
        <w:rPr>
          <w:rFonts w:ascii="Times New Roman;Times;Serif" w:hAnsi="Times New Roman;Times;Serif"/>
          <w:b w:val="false"/>
          <w:i w:val="false"/>
          <w:caps w:val="false"/>
          <w:smallCaps w:val="false"/>
          <w:sz w:val="20"/>
          <w:u w:val="single"/>
        </w:rPr>
        <w:t>(f)</w:t>
      </w:r>
      <w:r>
        <w:rPr>
          <w:rFonts w:ascii="Times New Roman;Times;Serif" w:hAnsi="Times New Roman;Times;Serif"/>
          <w:b w:val="false"/>
          <w:i w:val="false"/>
          <w:caps w:val="false"/>
          <w:smallCaps w:val="false"/>
          <w:sz w:val="20"/>
        </w:rPr>
        <w:t xml:space="preserve"> above, payment of which is guaranteed by, or secured by Encumbrances on the property of (with respect to liens, to the extent of the value of property pledged pursuant to such Encumbrances if less than the amount of such obligations), such Person. For the avoidance of doubt, “Indebtedness” includes any and all accrued interest, success fees, prepayment premiums, make-whole premiums or penalties, commitment and other fees, sale or liquidity participation amounts, reimbursements, indemnities, and fees or expenses; and any and all amounts owed to any Affiliates of such Person. For purposes of clarity, the Parties agree that Indebtedness shall exclude (i) any Liabilities included in the calculation of Working Capital and (ii) the Interim Financing. An illustrative example of the calculation of Indebtedness as of the date hereof is set forth in Appendix C, which is provided for reference purposes (it being noted that any figures appearing therein are not binding upon the Parties).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(96) “</w:t>
      </w:r>
      <w:r>
        <w:rPr>
          <w:rFonts w:ascii="Times New Roman;Times;Serif" w:hAnsi="Times New Roman;Times;Serif"/>
          <w:b w:val="false"/>
          <w:i w:val="false"/>
          <w:caps w:val="false"/>
          <w:smallCaps w:val="false"/>
          <w:sz w:val="20"/>
          <w:u w:val="single"/>
        </w:rPr>
        <w:t>Investment Agreement</w:t>
      </w:r>
      <w:r>
        <w:rPr>
          <w:rFonts w:ascii="Times New Roman;Times;Serif" w:hAnsi="Times New Roman;Times;Serif"/>
          <w:b w:val="false"/>
          <w:i w:val="false"/>
          <w:caps w:val="false"/>
          <w:smallCaps w:val="false"/>
          <w:sz w:val="20"/>
        </w:rPr>
        <w:t>” has the meaning set forth in Section 10.4.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(97) “</w:t>
      </w:r>
      <w:r>
        <w:rPr>
          <w:rFonts w:ascii="Times New Roman;Times;Serif" w:hAnsi="Times New Roman;Times;Serif"/>
          <w:b w:val="false"/>
          <w:i w:val="false"/>
          <w:caps w:val="false"/>
          <w:smallCaps w:val="false"/>
          <w:sz w:val="20"/>
          <w:u w:val="single"/>
        </w:rPr>
        <w:t>Indemnified Party</w:t>
      </w:r>
      <w:r>
        <w:rPr>
          <w:rFonts w:ascii="Times New Roman;Times;Serif" w:hAnsi="Times New Roman;Times;Serif"/>
          <w:b w:val="false"/>
          <w:i w:val="false"/>
          <w:caps w:val="false"/>
          <w:smallCaps w:val="false"/>
          <w:sz w:val="20"/>
        </w:rPr>
        <w:t>” has the meaning set forth in Section 8.7(b).</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(98) “</w:t>
      </w:r>
      <w:r>
        <w:rPr>
          <w:rFonts w:ascii="Times New Roman;Times;Serif" w:hAnsi="Times New Roman;Times;Serif"/>
          <w:b w:val="false"/>
          <w:i w:val="false"/>
          <w:caps w:val="false"/>
          <w:smallCaps w:val="false"/>
          <w:sz w:val="20"/>
          <w:u w:val="single"/>
        </w:rPr>
        <w:t>Indemnified Party Representative</w:t>
      </w:r>
      <w:r>
        <w:rPr>
          <w:rFonts w:ascii="Times New Roman;Times;Serif" w:hAnsi="Times New Roman;Times;Serif"/>
          <w:b w:val="false"/>
          <w:i w:val="false"/>
          <w:caps w:val="false"/>
          <w:smallCaps w:val="false"/>
          <w:sz w:val="20"/>
        </w:rPr>
        <w:t>” has the meaning set forth in Section 8.7(b).</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 “</w:t>
      </w:r>
      <w:r>
        <w:rPr>
          <w:rFonts w:ascii="Times New Roman;Times;Serif" w:hAnsi="Times New Roman;Times;Serif"/>
          <w:b w:val="false"/>
          <w:i w:val="false"/>
          <w:caps w:val="false"/>
          <w:smallCaps w:val="false"/>
          <w:sz w:val="20"/>
          <w:u w:val="single"/>
        </w:rPr>
        <w:t>Indemnifying Party</w:t>
      </w:r>
      <w:r>
        <w:rPr>
          <w:rFonts w:ascii="Times New Roman;Times;Serif" w:hAnsi="Times New Roman;Times;Serif"/>
          <w:b w:val="false"/>
          <w:i w:val="false"/>
          <w:caps w:val="false"/>
          <w:smallCaps w:val="false"/>
          <w:sz w:val="20"/>
        </w:rPr>
        <w:t>” has the meaning set forth in Section 8.7(b).</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 “</w:t>
      </w:r>
      <w:r>
        <w:rPr>
          <w:rFonts w:ascii="Times New Roman;Times;Serif" w:hAnsi="Times New Roman;Times;Serif"/>
          <w:b w:val="false"/>
          <w:i w:val="false"/>
          <w:caps w:val="false"/>
          <w:smallCaps w:val="false"/>
          <w:sz w:val="20"/>
          <w:u w:val="single"/>
        </w:rPr>
        <w:t>Indemnifying Party Representative</w:t>
      </w:r>
      <w:r>
        <w:rPr>
          <w:rFonts w:ascii="Times New Roman;Times;Serif" w:hAnsi="Times New Roman;Times;Serif"/>
          <w:b w:val="false"/>
          <w:i w:val="false"/>
          <w:caps w:val="false"/>
          <w:smallCaps w:val="false"/>
          <w:sz w:val="20"/>
        </w:rPr>
        <w:t>” has the meaning set forth in Section 8.7(b).</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 “</w:t>
      </w:r>
      <w:r>
        <w:rPr>
          <w:rFonts w:ascii="Times New Roman;Times;Serif" w:hAnsi="Times New Roman;Times;Serif"/>
          <w:b w:val="false"/>
          <w:i w:val="false"/>
          <w:caps w:val="false"/>
          <w:smallCaps w:val="false"/>
          <w:sz w:val="20"/>
          <w:u w:val="single"/>
        </w:rPr>
        <w:t>Information Rights Holder</w:t>
      </w:r>
      <w:r>
        <w:rPr>
          <w:rFonts w:ascii="Times New Roman;Times;Serif" w:hAnsi="Times New Roman;Times;Serif"/>
          <w:b w:val="false"/>
          <w:i w:val="false"/>
          <w:caps w:val="false"/>
          <w:smallCaps w:val="false"/>
          <w:sz w:val="20"/>
        </w:rPr>
        <w:t>” has the meaning set forth in Section 6.14.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 “</w:t>
      </w:r>
      <w:r>
        <w:rPr>
          <w:rFonts w:ascii="Times New Roman;Times;Serif" w:hAnsi="Times New Roman;Times;Serif"/>
          <w:b w:val="false"/>
          <w:i w:val="false"/>
          <w:caps w:val="false"/>
          <w:smallCaps w:val="false"/>
          <w:sz w:val="20"/>
          <w:u w:val="single"/>
        </w:rPr>
        <w:t>Initial Registration Statement Filing Deadline</w:t>
      </w:r>
      <w:r>
        <w:rPr>
          <w:rFonts w:ascii="Times New Roman;Times;Serif" w:hAnsi="Times New Roman;Times;Serif"/>
          <w:b w:val="false"/>
          <w:i w:val="false"/>
          <w:caps w:val="false"/>
          <w:smallCaps w:val="false"/>
          <w:sz w:val="20"/>
        </w:rPr>
        <w:t>” has the meaning set forth in Section 6.10(a).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 “</w:t>
      </w:r>
      <w:r>
        <w:rPr>
          <w:rFonts w:ascii="Times New Roman;Times;Serif" w:hAnsi="Times New Roman;Times;Serif"/>
          <w:b w:val="false"/>
          <w:i w:val="false"/>
          <w:caps w:val="false"/>
          <w:smallCaps w:val="false"/>
          <w:sz w:val="20"/>
          <w:u w:val="single"/>
        </w:rPr>
        <w:t>Intellectual Property Rights</w:t>
      </w:r>
      <w:r>
        <w:rPr>
          <w:rFonts w:ascii="Times New Roman;Times;Serif" w:hAnsi="Times New Roman;Times;Serif"/>
          <w:b w:val="false"/>
          <w:i w:val="false"/>
          <w:caps w:val="false"/>
          <w:smallCaps w:val="false"/>
          <w:sz w:val="20"/>
        </w:rPr>
        <w:t>” means all U.S. and foreign: (i) patents and patent applications, including continuations, divisionals, renewals, extensions, provisionals, continuations-in-part, or reissues of patent applications and patents issuing thereon; (ii) trademarks, service marks, trade names, logos, service names, brand names and trade dress rights, whether registered or unregistered, and all registrations and applications to register any of the foregoing with any agency or authority; (iii) copyrights, whether registered or unregistered, and all applications, registrations and renewals thereof, software, content, works of authorship, and mask work rights (except, with respect to Company, moral rights); (iv) internet domain name registrations, and applications therefore, and social media accounts; (v) inventions, technology, formulae, algorithms, procedures, processes, methods, techniques, systems, know-how, ideas, creations, discoveries, improvements, trade secrets and confidential business information, whether patentable or unpatentable and whether or not reduced to practice, including all confidential formulae, processes, know-how, technical and clinical data, shop rights, financial, marketing and business data, pricing and cost information, business and marketing plans and customer and supplier lists and information and any media or other tangible embodiment thereof and all descriptions thereof; and (vi) any similar or equivalent rights to any of the foregoing (anywhere in the world).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 “</w:t>
      </w:r>
      <w:r>
        <w:rPr>
          <w:rFonts w:ascii="Times New Roman;Times;Serif" w:hAnsi="Times New Roman;Times;Serif"/>
          <w:b w:val="false"/>
          <w:i w:val="false"/>
          <w:caps w:val="false"/>
          <w:smallCaps w:val="false"/>
          <w:sz w:val="20"/>
          <w:u w:val="single"/>
        </w:rPr>
        <w:t>Intellectual Property Warranties</w:t>
      </w:r>
      <w:r>
        <w:rPr>
          <w:rFonts w:ascii="Times New Roman;Times;Serif" w:hAnsi="Times New Roman;Times;Serif"/>
          <w:b w:val="false"/>
          <w:i w:val="false"/>
          <w:caps w:val="false"/>
          <w:smallCaps w:val="false"/>
          <w:sz w:val="20"/>
        </w:rPr>
        <w:t>” means the representations and warranties set forth in Section 3.7;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 “</w:t>
      </w:r>
      <w:r>
        <w:rPr>
          <w:rFonts w:ascii="Times New Roman;Times;Serif" w:hAnsi="Times New Roman;Times;Serif"/>
          <w:b w:val="false"/>
          <w:i w:val="false"/>
          <w:caps w:val="false"/>
          <w:smallCaps w:val="false"/>
          <w:sz w:val="20"/>
          <w:u w:val="single"/>
        </w:rPr>
        <w:t>Institutional Financial Investors</w:t>
      </w:r>
      <w:r>
        <w:rPr>
          <w:rFonts w:ascii="Times New Roman;Times;Serif" w:hAnsi="Times New Roman;Times;Serif"/>
          <w:b w:val="false"/>
          <w:i w:val="false"/>
          <w:caps w:val="false"/>
          <w:smallCaps w:val="false"/>
          <w:sz w:val="20"/>
        </w:rPr>
        <w:t>” means all Sellers with the exception of Microport and any Key Employee.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 “</w:t>
      </w:r>
      <w:r>
        <w:rPr>
          <w:rFonts w:ascii="Times New Roman;Times;Serif" w:hAnsi="Times New Roman;Times;Serif"/>
          <w:b w:val="false"/>
          <w:i w:val="false"/>
          <w:caps w:val="false"/>
          <w:smallCaps w:val="false"/>
          <w:sz w:val="20"/>
          <w:u w:val="single"/>
        </w:rPr>
        <w:t>Integration Committee</w:t>
      </w:r>
      <w:r>
        <w:rPr>
          <w:rFonts w:ascii="Times New Roman;Times;Serif" w:hAnsi="Times New Roman;Times;Serif"/>
          <w:b w:val="false"/>
          <w:i w:val="false"/>
          <w:caps w:val="false"/>
          <w:smallCaps w:val="false"/>
          <w:sz w:val="20"/>
        </w:rPr>
        <w:t>” has the meaning set forth in Section 6.13.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 “</w:t>
      </w:r>
      <w:r>
        <w:rPr>
          <w:rFonts w:ascii="Times New Roman;Times;Serif" w:hAnsi="Times New Roman;Times;Serif"/>
          <w:b w:val="false"/>
          <w:i w:val="false"/>
          <w:caps w:val="false"/>
          <w:smallCaps w:val="false"/>
          <w:sz w:val="20"/>
          <w:u w:val="single"/>
        </w:rPr>
        <w:t>Investment Control Authority</w:t>
      </w:r>
      <w:r>
        <w:rPr>
          <w:rFonts w:ascii="Times New Roman;Times;Serif" w:hAnsi="Times New Roman;Times;Serif"/>
          <w:b w:val="false"/>
          <w:i w:val="false"/>
          <w:caps w:val="false"/>
          <w:smallCaps w:val="false"/>
          <w:sz w:val="20"/>
        </w:rPr>
        <w:t xml:space="preserve">” means the </w:t>
      </w:r>
      <w:r>
        <w:rPr>
          <w:rFonts w:ascii="Times New Roman;Times;Serif" w:hAnsi="Times New Roman;Times;Serif"/>
          <w:b w:val="false"/>
          <w:i/>
          <w:caps w:val="false"/>
          <w:smallCaps w:val="false"/>
          <w:sz w:val="20"/>
        </w:rPr>
        <w:t>Direction Générale du Trésor</w:t>
      </w:r>
      <w:r>
        <w:rPr>
          <w:rFonts w:ascii="Times New Roman;Times;Serif" w:hAnsi="Times New Roman;Times;Serif"/>
          <w:b w:val="false"/>
          <w:i w:val="false"/>
          <w:caps w:val="false"/>
          <w:smallCaps w:val="false"/>
          <w:sz w:val="20"/>
        </w:rPr>
        <w:t xml:space="preserve"> at the French Ministry of Economy.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(108) “</w:t>
      </w:r>
      <w:r>
        <w:rPr>
          <w:rFonts w:ascii="Times New Roman;Times;Serif" w:hAnsi="Times New Roman;Times;Serif"/>
          <w:b w:val="false"/>
          <w:i w:val="false"/>
          <w:caps w:val="false"/>
          <w:smallCaps w:val="false"/>
          <w:sz w:val="20"/>
          <w:u w:val="single"/>
        </w:rPr>
        <w:t>JV</w:t>
      </w:r>
      <w:r>
        <w:rPr>
          <w:rFonts w:ascii="Times New Roman;Times;Serif" w:hAnsi="Times New Roman;Times;Serif"/>
          <w:b w:val="false"/>
          <w:i w:val="false"/>
          <w:caps w:val="false"/>
          <w:smallCaps w:val="false"/>
          <w:sz w:val="20"/>
        </w:rPr>
        <w:t>” means the joint-venture between Robocath and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(109) “</w:t>
      </w:r>
      <w:r>
        <w:rPr>
          <w:rFonts w:ascii="Times New Roman;Times;Serif" w:hAnsi="Times New Roman;Times;Serif"/>
          <w:b w:val="false"/>
          <w:i w:val="false"/>
          <w:caps w:val="false"/>
          <w:smallCaps w:val="false"/>
          <w:sz w:val="20"/>
          <w:u w:val="single"/>
        </w:rPr>
        <w:t>JV Agreements</w:t>
      </w:r>
      <w:r>
        <w:rPr>
          <w:rFonts w:ascii="Times New Roman;Times;Serif" w:hAnsi="Times New Roman;Times;Serif"/>
          <w:b w:val="false"/>
          <w:i w:val="false"/>
          <w:caps w:val="false"/>
          <w:smallCaps w:val="false"/>
          <w:sz w:val="20"/>
        </w:rPr>
        <w:t xml:space="preserve">” means all agreements, arrangements and understandings entered into by and among the Company, [***] and/or the JV, as listed in </w:t>
      </w:r>
      <w:r>
        <w:rPr>
          <w:rFonts w:ascii="Times New Roman;Times;Serif" w:hAnsi="Times New Roman;Times;Serif"/>
          <w:b w:val="false"/>
          <w:i w:val="false"/>
          <w:caps w:val="false"/>
          <w:smallCaps w:val="false"/>
          <w:sz w:val="20"/>
          <w:u w:val="single"/>
        </w:rPr>
        <w:t>Exhibit 1.7</w:t>
      </w:r>
      <w:r>
        <w:rPr>
          <w:rFonts w:ascii="Times New Roman;Times;Serif" w:hAnsi="Times New Roman;Times;Serif"/>
          <w:b w:val="false"/>
          <w:i w:val="false"/>
          <w:caps w:val="false"/>
          <w:smallCaps w:val="false"/>
          <w:sz w:val="20"/>
        </w:rPr>
        <w:t>, as each may be amended, restated, supplemented or otherwise modified from time to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(110) “</w:t>
      </w:r>
      <w:r>
        <w:rPr>
          <w:rFonts w:ascii="Times New Roman;Times;Serif" w:hAnsi="Times New Roman;Times;Serif"/>
          <w:b w:val="false"/>
          <w:i w:val="false"/>
          <w:caps w:val="false"/>
          <w:smallCaps w:val="false"/>
          <w:sz w:val="20"/>
          <w:u w:val="single"/>
        </w:rPr>
        <w:t>Key Employee(s)</w:t>
      </w:r>
      <w:r>
        <w:rPr>
          <w:rFonts w:ascii="Times New Roman;Times;Serif" w:hAnsi="Times New Roman;Times;Serif"/>
          <w:b w:val="false"/>
          <w:i w:val="false"/>
          <w:caps w:val="false"/>
          <w:smallCaps w:val="false"/>
          <w:sz w:val="20"/>
        </w:rPr>
        <w:t>” means (i) with respect to Company, each of the Employees listed under the heading “Key Employees” on Section 3.15(a) of the Company Disclosure Letter, and (ii) with respect to Purchaser, any executive-level employee (including division director and vice president-level positions).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 “</w:t>
      </w:r>
      <w:r>
        <w:rPr>
          <w:rFonts w:ascii="Times New Roman;Times;Serif" w:hAnsi="Times New Roman;Times;Serif"/>
          <w:b w:val="false"/>
          <w:i w:val="false"/>
          <w:caps w:val="false"/>
          <w:smallCaps w:val="false"/>
          <w:sz w:val="20"/>
          <w:u w:val="single"/>
        </w:rPr>
        <w:t>Knowledge</w:t>
      </w:r>
      <w:r>
        <w:rPr>
          <w:rFonts w:ascii="Times New Roman;Times;Serif" w:hAnsi="Times New Roman;Times;Serif"/>
          <w:b w:val="false"/>
          <w:i w:val="false"/>
          <w:caps w:val="false"/>
          <w:smallCaps w:val="false"/>
          <w:sz w:val="20"/>
        </w:rPr>
        <w:t>” means (a) when referring to the Company’s Knowledge, the actual knowledge of the Manager, or the knowledge that any of such persons should have had by virtue of its functions or after having made the enquiries that can reasonably be expected from them in the context of the preparation of this Agreement and (b) when referring to the Purchaser’s Knowledge, the actual knowledge of the Purchaser’s CEO, or the knowledge that any of such persons should have had by virtue of its functions or after having made the enquiries that can reasonably be expected from them in the context of the preparation of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 “</w:t>
      </w:r>
      <w:r>
        <w:rPr>
          <w:rFonts w:ascii="Times New Roman;Times;Serif" w:hAnsi="Times New Roman;Times;Serif"/>
          <w:b w:val="false"/>
          <w:i w:val="false"/>
          <w:caps w:val="false"/>
          <w:smallCaps w:val="false"/>
          <w:sz w:val="20"/>
          <w:u w:val="single"/>
        </w:rPr>
        <w:t>Law</w:t>
      </w:r>
      <w:r>
        <w:rPr>
          <w:rFonts w:ascii="Times New Roman;Times;Serif" w:hAnsi="Times New Roman;Times;Serif"/>
          <w:b w:val="false"/>
          <w:i w:val="false"/>
          <w:caps w:val="false"/>
          <w:smallCaps w:val="false"/>
          <w:sz w:val="20"/>
        </w:rPr>
        <w:t>” means any treaty, international convention, directive, ordinance, law, legislation, statute, decree, regulation, order, ordinance, instrument, code, decisions having the force of law, rule or decree of any Governmental Authority (including any judicial or administrative interpretation thereof), in force as of the relevant date;</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(113) “</w:t>
      </w:r>
      <w:r>
        <w:rPr>
          <w:rFonts w:ascii="Times New Roman;Times;Serif" w:hAnsi="Times New Roman;Times;Serif"/>
          <w:b w:val="false"/>
          <w:i w:val="false"/>
          <w:caps w:val="false"/>
          <w:smallCaps w:val="false"/>
          <w:sz w:val="20"/>
          <w:u w:val="single"/>
        </w:rPr>
        <w:t>Lead Indication</w:t>
      </w:r>
      <w:r>
        <w:rPr>
          <w:rFonts w:ascii="Times New Roman;Times;Serif" w:hAnsi="Times New Roman;Times;Serif"/>
          <w:b w:val="false"/>
          <w:i w:val="false"/>
          <w:caps w:val="false"/>
          <w:smallCaps w:val="false"/>
          <w:sz w:val="20"/>
        </w:rPr>
        <w:t>” means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(114) “</w:t>
      </w:r>
      <w:r>
        <w:rPr>
          <w:rFonts w:ascii="Times New Roman;Times;Serif" w:hAnsi="Times New Roman;Times;Serif"/>
          <w:b w:val="false"/>
          <w:i w:val="false"/>
          <w:caps w:val="false"/>
          <w:smallCaps w:val="false"/>
          <w:sz w:val="20"/>
          <w:u w:val="single"/>
        </w:rPr>
        <w:t>Legal Requirement</w:t>
      </w:r>
      <w:r>
        <w:rPr>
          <w:rFonts w:ascii="Times New Roman;Times;Serif" w:hAnsi="Times New Roman;Times;Serif"/>
          <w:b w:val="false"/>
          <w:i w:val="false"/>
          <w:caps w:val="false"/>
          <w:smallCaps w:val="false"/>
          <w:sz w:val="20"/>
        </w:rPr>
        <w:t>” means any federal, state, local, municipal, foreign or other law, statute, legislation, constitution, principle of common law, resolution, ordinance, code, edict, decree, proclamation, treaty, convention, rule, regulation, ruling, directive, pronouncement, requirement, specification, determination, decision, opinion or interpretation that is enacted, adopted, passed, approved, promulgated, made, implemented or otherwise put into effect by or under the authority of any Governmental Entity.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(115) “</w:t>
      </w:r>
      <w:r>
        <w:rPr>
          <w:rFonts w:ascii="Times New Roman;Times;Serif" w:hAnsi="Times New Roman;Times;Serif"/>
          <w:b w:val="false"/>
          <w:i w:val="false"/>
          <w:caps w:val="false"/>
          <w:smallCaps w:val="false"/>
          <w:sz w:val="20"/>
          <w:u w:val="single"/>
        </w:rPr>
        <w:t>Liabilities</w:t>
      </w:r>
      <w:r>
        <w:rPr>
          <w:rFonts w:ascii="Times New Roman;Times;Serif" w:hAnsi="Times New Roman;Times;Serif"/>
          <w:b w:val="false"/>
          <w:i w:val="false"/>
          <w:caps w:val="false"/>
          <w:smallCaps w:val="false"/>
          <w:sz w:val="20"/>
        </w:rPr>
        <w:t>” means, with respect to any Person, any liability, debt, or obligation of such Person of any kind, character, description, or nature, whether known or unknown, direct or indirect, fixed, absolute or contingent, matured or unmatured, accrued or unaccrued, asserted or unasserted, ascertained or ascertainable, disputed or undisputed, liquidated or unliquidated, secured or unsecured, joint or several, vested or unvested, executory, determined, determinable or indeterminable in contract, tort, strict liability, or otherwise, or otherwise due or to become due and whether or not the same is required to be reflected on the financial statements of such Person, including all costs and expenses relating thereto and any liability for Taxes.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(116) “</w:t>
      </w:r>
      <w:r>
        <w:rPr>
          <w:rFonts w:ascii="Times New Roman;Times;Serif" w:hAnsi="Times New Roman;Times;Serif"/>
          <w:b w:val="false"/>
          <w:i w:val="false"/>
          <w:caps w:val="false"/>
          <w:smallCaps w:val="false"/>
          <w:sz w:val="20"/>
          <w:u w:val="single"/>
        </w:rPr>
        <w:t>Manager</w:t>
      </w:r>
      <w:r>
        <w:rPr>
          <w:rFonts w:ascii="Times New Roman;Times;Serif" w:hAnsi="Times New Roman;Times;Serif"/>
          <w:b w:val="false"/>
          <w:i w:val="false"/>
          <w:caps w:val="false"/>
          <w:smallCaps w:val="false"/>
          <w:sz w:val="20"/>
        </w:rPr>
        <w:t>” means Philippe Bencteux in his capacity as President (</w:t>
      </w:r>
      <w:r>
        <w:rPr>
          <w:rFonts w:ascii="Times New Roman;Times;Serif" w:hAnsi="Times New Roman;Times;Serif"/>
          <w:b w:val="false"/>
          <w:i/>
          <w:caps w:val="false"/>
          <w:smallCaps w:val="false"/>
          <w:sz w:val="20"/>
        </w:rPr>
        <w:t>Président</w:t>
      </w:r>
      <w:r>
        <w:rPr>
          <w:rFonts w:ascii="Times New Roman;Times;Serif" w:hAnsi="Times New Roman;Times;Serif"/>
          <w:b w:val="false"/>
          <w:i w:val="false"/>
          <w:caps w:val="false"/>
          <w:smallCaps w:val="false"/>
          <w:sz w:val="20"/>
        </w:rPr>
        <w:t>) of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(117) “</w:t>
      </w:r>
      <w:r>
        <w:rPr>
          <w:rFonts w:ascii="Times New Roman;Times;Serif" w:hAnsi="Times New Roman;Times;Serif"/>
          <w:b w:val="false"/>
          <w:i w:val="false"/>
          <w:caps w:val="false"/>
          <w:smallCaps w:val="false"/>
          <w:sz w:val="20"/>
          <w:u w:val="single"/>
        </w:rPr>
        <w:t>Material Adverse Effect</w:t>
      </w:r>
      <w:r>
        <w:rPr>
          <w:rFonts w:ascii="Times New Roman;Times;Serif" w:hAnsi="Times New Roman;Times;Serif"/>
          <w:b w:val="false"/>
          <w:i w:val="false"/>
          <w:caps w:val="false"/>
          <w:smallCaps w:val="false"/>
          <w:sz w:val="20"/>
        </w:rPr>
        <w:t>” means, with respect to any Party, any change, effect, event, circumstance or development that, individually or in the aggregate, has had or would reasonably be expected to have a material adverse effect on (i) the business, assets (including intangible assets), liabilities, financial condition, property or results of operations of such Party, taken as a whole, or (ii) the right or ability of such Party to consummate the Transactions; excluding, however, any effect attributable to (w) a change in applicable Legal Requirement or accounting standards or interpretations thereof applicable to such Party, (x) changes generally applicable to financial, economic, political or similar conditions, including changes in interest rates, exchange rates, credit markets or capital markets conditions, the imposition or modification of sanctions, embargos or trade restrictions by any Governmental Entity, (including acts of war, armed hostilities, terrorism, military action, sabotage or cyberattacks), (y) changes generally applicable to the industries in which the Party operates, meaning the medical device industry, (z) any epidemic, pandemic, or public health emergency, natural disaster, act of God, or similar force majeure event, (aa) the announcement or pendency of the Transaction, including any impact on relationships with customers or suppliers; provided, in the case of clauses (w), (x), (y), and (z), that such conditions or changes do not have a materially disproportionate impact on the Party relative to other participants in such industries.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(118) “</w:t>
      </w:r>
      <w:r>
        <w:rPr>
          <w:rFonts w:ascii="Times New Roman;Times;Serif" w:hAnsi="Times New Roman;Times;Serif"/>
          <w:b w:val="false"/>
          <w:i w:val="false"/>
          <w:caps w:val="false"/>
          <w:smallCaps w:val="false"/>
          <w:sz w:val="20"/>
          <w:u w:val="single"/>
        </w:rPr>
        <w:t>Material Contract</w:t>
      </w:r>
      <w:r>
        <w:rPr>
          <w:rFonts w:ascii="Times New Roman;Times;Serif" w:hAnsi="Times New Roman;Times;Serif"/>
          <w:b w:val="false"/>
          <w:i w:val="false"/>
          <w:caps w:val="false"/>
          <w:smallCaps w:val="false"/>
          <w:sz w:val="20"/>
        </w:rPr>
        <w:t>” means each Contract of the Company in effect as of the date of this Agreement or entered into between the date of this Agreement and the Closing Date to which it is a party or by which it, or its business or its assets is bound, including without limitation: (i) which has a value higher than EUR 100,000 per year, or (ii) entered into with the Company’s top 5 suppliers in the fiscal year 2025 or (iii) entered into with the Company’s top 5 customers in the fiscal year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(119) “</w:t>
      </w:r>
      <w:r>
        <w:rPr>
          <w:rFonts w:ascii="Times New Roman;Times;Serif" w:hAnsi="Times New Roman;Times;Serif"/>
          <w:b w:val="false"/>
          <w:i w:val="false"/>
          <w:caps w:val="false"/>
          <w:smallCaps w:val="false"/>
          <w:sz w:val="20"/>
          <w:u w:val="single"/>
        </w:rPr>
        <w:t>Monthly Budget</w:t>
      </w:r>
      <w:r>
        <w:rPr>
          <w:rFonts w:ascii="Times New Roman;Times;Serif" w:hAnsi="Times New Roman;Times;Serif"/>
          <w:b w:val="false"/>
          <w:i w:val="false"/>
          <w:caps w:val="false"/>
          <w:smallCaps w:val="false"/>
          <w:sz w:val="20"/>
        </w:rPr>
        <w:t>” has the meaning set forth in Section 6.13.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(120) “</w:t>
      </w:r>
      <w:r>
        <w:rPr>
          <w:rFonts w:ascii="Times New Roman;Times;Serif" w:hAnsi="Times New Roman;Times;Serif"/>
          <w:b w:val="false"/>
          <w:i w:val="false"/>
          <w:caps w:val="false"/>
          <w:smallCaps w:val="false"/>
          <w:sz w:val="20"/>
          <w:u w:val="single"/>
        </w:rPr>
        <w:t>Monthly Cap</w:t>
      </w:r>
      <w:r>
        <w:rPr>
          <w:rFonts w:ascii="Times New Roman;Times;Serif" w:hAnsi="Times New Roman;Times;Serif"/>
          <w:b w:val="false"/>
          <w:i w:val="false"/>
          <w:caps w:val="false"/>
          <w:smallCaps w:val="false"/>
          <w:sz w:val="20"/>
        </w:rPr>
        <w:t>” has the meaning set forth in Section 6.13.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 “</w:t>
      </w:r>
      <w:r>
        <w:rPr>
          <w:rFonts w:ascii="Times New Roman;Times;Serif" w:hAnsi="Times New Roman;Times;Serif"/>
          <w:b w:val="false"/>
          <w:i w:val="false"/>
          <w:caps w:val="false"/>
          <w:smallCaps w:val="false"/>
          <w:sz w:val="20"/>
          <w:u w:val="single"/>
        </w:rPr>
        <w:t>Non-Compete Period</w:t>
      </w:r>
      <w:r>
        <w:rPr>
          <w:rFonts w:ascii="Times New Roman;Times;Serif" w:hAnsi="Times New Roman;Times;Serif"/>
          <w:b w:val="false"/>
          <w:i w:val="false"/>
          <w:caps w:val="false"/>
          <w:smallCaps w:val="false"/>
          <w:sz w:val="20"/>
        </w:rPr>
        <w:t>” means the period commencing on the Closing Date and ending on the 2</w:t>
      </w:r>
      <w:r>
        <w:rPr>
          <w:rFonts w:ascii="Times New Roman;Times;Serif" w:hAnsi="Times New Roman;Times;Serif"/>
          <w:b w:val="false"/>
          <w:i w:val="false"/>
          <w:caps w:val="false"/>
          <w:smallCaps w:val="false"/>
          <w:position w:val="7"/>
          <w:sz w:val="16"/>
          <w:sz w:val="20"/>
        </w:rPr>
        <w:t>nd</w:t>
      </w:r>
      <w:r>
        <w:rPr>
          <w:rFonts w:ascii="Times New Roman;Times;Serif" w:hAnsi="Times New Roman;Times;Serif"/>
          <w:b w:val="false"/>
          <w:i w:val="false"/>
          <w:caps w:val="false"/>
          <w:smallCaps w:val="false"/>
          <w:sz w:val="20"/>
        </w:rPr>
        <w:t xml:space="preserve"> anniversary of the Closing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 “</w:t>
      </w:r>
      <w:r>
        <w:rPr>
          <w:rFonts w:ascii="Times New Roman;Times;Serif" w:hAnsi="Times New Roman;Times;Serif"/>
          <w:b w:val="false"/>
          <w:i w:val="false"/>
          <w:caps w:val="false"/>
          <w:smallCaps w:val="false"/>
          <w:sz w:val="20"/>
          <w:u w:val="single"/>
        </w:rPr>
        <w:t>Notice Period</w:t>
      </w:r>
      <w:r>
        <w:rPr>
          <w:rFonts w:ascii="Times New Roman;Times;Serif" w:hAnsi="Times New Roman;Times;Serif"/>
          <w:b w:val="false"/>
          <w:i w:val="false"/>
          <w:caps w:val="false"/>
          <w:smallCaps w:val="false"/>
          <w:sz w:val="20"/>
        </w:rPr>
        <w:t>” has the meaning set forth in Section 8.7(b)(ii).</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(123) “</w:t>
      </w:r>
      <w:r>
        <w:rPr>
          <w:rFonts w:ascii="Times New Roman;Times;Serif" w:hAnsi="Times New Roman;Times;Serif"/>
          <w:b w:val="false"/>
          <w:i w:val="false"/>
          <w:caps w:val="false"/>
          <w:smallCaps w:val="false"/>
          <w:sz w:val="20"/>
          <w:u w:val="single"/>
        </w:rPr>
        <w:t>Objection Notice</w:t>
      </w:r>
      <w:r>
        <w:rPr>
          <w:rFonts w:ascii="Times New Roman;Times;Serif" w:hAnsi="Times New Roman;Times;Serif"/>
          <w:b w:val="false"/>
          <w:i w:val="false"/>
          <w:caps w:val="false"/>
          <w:smallCaps w:val="false"/>
          <w:sz w:val="20"/>
        </w:rPr>
        <w:t>” has the meaning set forth in Section 1.4.</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(124) “</w:t>
      </w:r>
      <w:r>
        <w:rPr>
          <w:rFonts w:ascii="Times New Roman;Times;Serif" w:hAnsi="Times New Roman;Times;Serif"/>
          <w:b w:val="false"/>
          <w:i w:val="false"/>
          <w:caps w:val="false"/>
          <w:smallCaps w:val="false"/>
          <w:sz w:val="20"/>
          <w:u w:val="single"/>
        </w:rPr>
        <w:t>ODI Registrations</w:t>
      </w:r>
      <w:r>
        <w:rPr>
          <w:rFonts w:ascii="Times New Roman;Times;Serif" w:hAnsi="Times New Roman;Times;Serif"/>
          <w:b w:val="false"/>
          <w:i w:val="false"/>
          <w:caps w:val="false"/>
          <w:smallCaps w:val="false"/>
          <w:sz w:val="20"/>
        </w:rPr>
        <w:t>” means all the certificates and filings or their amendments needed to be obtained or filed by any applicable Seller for purpose of receipt of Purchaser Common Stock and completion of the Transactions, including (i) notification of project filing issued by the National Development and Reform Committee of the People’s Republic of China or its competent local counterparts (“NDRC”) by electronic, hardcopy certificate or other means confirming the completion of the outbound investment filing process with NDRC(ii)the Overseas Investment Certificates(“OIC”) issued by the Ministry of Commerce of the People’s Republic of China (“MOFCOM”); (iii) certificates evidencing the completion of the overseas investment foreign exchange registration and foreign exchange conversion and remittance issued by a qualified bank approved by the State Administration of Foreign Exchange of the People’s Republic of China (“SAFE”)or its competent local counterparts by electronic, hardcopy certificate or other means confirming the completion of the SAFE proceedings necessary for outbound investment.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(125) “</w:t>
      </w:r>
      <w:r>
        <w:rPr>
          <w:rFonts w:ascii="Times New Roman;Times;Serif" w:hAnsi="Times New Roman;Times;Serif"/>
          <w:b w:val="false"/>
          <w:i w:val="false"/>
          <w:caps w:val="false"/>
          <w:smallCaps w:val="false"/>
          <w:sz w:val="20"/>
          <w:u w:val="single"/>
        </w:rPr>
        <w:t>ODI Shareholders</w:t>
      </w:r>
      <w:r>
        <w:rPr>
          <w:rFonts w:ascii="Times New Roman;Times;Serif" w:hAnsi="Times New Roman;Times;Serif"/>
          <w:b w:val="false"/>
          <w:i w:val="false"/>
          <w:caps w:val="false"/>
          <w:smallCaps w:val="false"/>
          <w:sz w:val="20"/>
        </w:rPr>
        <w:t xml:space="preserve">” means [***] and [***].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(126) “</w:t>
      </w:r>
      <w:r>
        <w:rPr>
          <w:rFonts w:ascii="Times New Roman;Times;Serif" w:hAnsi="Times New Roman;Times;Serif"/>
          <w:b w:val="false"/>
          <w:i w:val="false"/>
          <w:caps w:val="false"/>
          <w:smallCaps w:val="false"/>
          <w:sz w:val="20"/>
          <w:u w:val="single"/>
        </w:rPr>
        <w:t>Organizational Documents</w:t>
      </w:r>
      <w:r>
        <w:rPr>
          <w:rFonts w:ascii="Times New Roman;Times;Serif" w:hAnsi="Times New Roman;Times;Serif"/>
          <w:b w:val="false"/>
          <w:i w:val="false"/>
          <w:caps w:val="false"/>
          <w:smallCaps w:val="false"/>
          <w:sz w:val="20"/>
        </w:rPr>
        <w:t>” means the certificate of incorporation and articles of association, or equivalent governing documents, including all amendments thereto, of the applicable Person.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(127) “</w:t>
      </w:r>
      <w:r>
        <w:rPr>
          <w:rFonts w:ascii="Times New Roman;Times;Serif" w:hAnsi="Times New Roman;Times;Serif"/>
          <w:b w:val="false"/>
          <w:i w:val="false"/>
          <w:caps w:val="false"/>
          <w:smallCaps w:val="false"/>
          <w:sz w:val="20"/>
          <w:u w:val="single"/>
        </w:rPr>
        <w:t>OTC Software</w:t>
      </w:r>
      <w:r>
        <w:rPr>
          <w:rFonts w:ascii="Times New Roman;Times;Serif" w:hAnsi="Times New Roman;Times;Serif"/>
          <w:b w:val="false"/>
          <w:i w:val="false"/>
          <w:caps w:val="false"/>
          <w:smallCaps w:val="false"/>
          <w:sz w:val="20"/>
        </w:rPr>
        <w:t>” has the meaning set forth in Section 3.7(b).</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(128) “</w:t>
      </w:r>
      <w:r>
        <w:rPr>
          <w:rFonts w:ascii="Times New Roman;Times;Serif" w:hAnsi="Times New Roman;Times;Serif"/>
          <w:b w:val="false"/>
          <w:i w:val="false"/>
          <w:caps w:val="false"/>
          <w:smallCaps w:val="false"/>
          <w:sz w:val="20"/>
          <w:u w:val="single"/>
        </w:rPr>
        <w:t>Party</w:t>
      </w:r>
      <w:r>
        <w:rPr>
          <w:rFonts w:ascii="Times New Roman;Times;Serif" w:hAnsi="Times New Roman;Times;Serif"/>
          <w:b w:val="false"/>
          <w:i w:val="false"/>
          <w:caps w:val="false"/>
          <w:smallCaps w:val="false"/>
          <w:sz w:val="20"/>
        </w:rPr>
        <w:t>” or “</w:t>
      </w:r>
      <w:r>
        <w:rPr>
          <w:rFonts w:ascii="Times New Roman;Times;Serif" w:hAnsi="Times New Roman;Times;Serif"/>
          <w:b w:val="false"/>
          <w:i w:val="false"/>
          <w:caps w:val="false"/>
          <w:smallCaps w:val="false"/>
          <w:sz w:val="20"/>
          <w:u w:val="single"/>
        </w:rPr>
        <w:t>Parties</w:t>
      </w:r>
      <w:r>
        <w:rPr>
          <w:rFonts w:ascii="Times New Roman;Times;Serif" w:hAnsi="Times New Roman;Times;Serif"/>
          <w:b w:val="false"/>
          <w:i w:val="false"/>
          <w:caps w:val="false"/>
          <w:smallCaps w:val="false"/>
          <w:sz w:val="20"/>
        </w:rPr>
        <w:t>” has the meaning set forth in the Preamble;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(129) “</w:t>
      </w:r>
      <w:r>
        <w:rPr>
          <w:rFonts w:ascii="Times New Roman;Times;Serif" w:hAnsi="Times New Roman;Times;Serif"/>
          <w:b w:val="false"/>
          <w:i w:val="false"/>
          <w:caps w:val="false"/>
          <w:smallCaps w:val="false"/>
          <w:sz w:val="20"/>
          <w:u w:val="single"/>
        </w:rPr>
        <w:t>PCBs</w:t>
      </w:r>
      <w:r>
        <w:rPr>
          <w:rFonts w:ascii="Times New Roman;Times;Serif" w:hAnsi="Times New Roman;Times;Serif"/>
          <w:b w:val="false"/>
          <w:i w:val="false"/>
          <w:caps w:val="false"/>
          <w:smallCaps w:val="false"/>
          <w:sz w:val="20"/>
        </w:rPr>
        <w:t>” has the meaning set forth in Section 3.21.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(130) “</w:t>
      </w:r>
      <w:r>
        <w:rPr>
          <w:rFonts w:ascii="Times New Roman;Times;Serif" w:hAnsi="Times New Roman;Times;Serif"/>
          <w:b w:val="false"/>
          <w:i w:val="false"/>
          <w:caps w:val="false"/>
          <w:smallCaps w:val="false"/>
          <w:sz w:val="20"/>
          <w:u w:val="single"/>
        </w:rPr>
        <w:t>Permanent Disability</w:t>
      </w:r>
      <w:r>
        <w:rPr>
          <w:rFonts w:ascii="Times New Roman;Times;Serif" w:hAnsi="Times New Roman;Times;Serif"/>
          <w:b w:val="false"/>
          <w:i w:val="false"/>
          <w:caps w:val="false"/>
          <w:smallCaps w:val="false"/>
          <w:sz w:val="20"/>
        </w:rPr>
        <w:t>” means a disability declared further to a medical examination provided for in article L.4624-4 of the French Labour Code or pursuant to any similar provision applicable to a foreign Affiliated Company and, for a U.S. Beneficiary, shall mean the inability of such U.S. Beneficiary to engage in any substantial gainful activity by reason of any medically determinable physical or mental impairment that can be expected to result in death or that has lasted or can be expected to last for a continuous period of not less than twelve (12) months as provided in Sections 22(e)(3) and 409A(a)(2)(c)(i) of the Code.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(131) “</w:t>
      </w:r>
      <w:r>
        <w:rPr>
          <w:rFonts w:ascii="Times New Roman;Times;Serif" w:hAnsi="Times New Roman;Times;Serif"/>
          <w:b w:val="false"/>
          <w:i w:val="false"/>
          <w:caps w:val="false"/>
          <w:smallCaps w:val="false"/>
          <w:sz w:val="20"/>
          <w:u w:val="single"/>
        </w:rPr>
        <w:t>Permitted Encumbrances</w:t>
      </w:r>
      <w:r>
        <w:rPr>
          <w:rFonts w:ascii="Times New Roman;Times;Serif" w:hAnsi="Times New Roman;Times;Serif"/>
          <w:b w:val="false"/>
          <w:i w:val="false"/>
          <w:caps w:val="false"/>
          <w:smallCaps w:val="false"/>
          <w:sz w:val="20"/>
        </w:rPr>
        <w:t>” means (a) statutory liens of landlords, liens of carriers, warehousepersons, mechanics and material persons incurred in the ordinary course of business for sums not yet due and payable or for amounts not exceeding $50,000 in the aggregate and not otherwise in default, (b) liens incurred or deposits made in connection with workers’ compensation, unemployment insurance and other similar types of social security programs, (c) easements, rights-of-way, restrictions and other similar charges or encumbrances, in each case, which do not interfere with the ordinary conduct of the Company’s business and do not materially detract from the value of the property upon which such encumbrance exists, (d) liens for Taxes not yet due and payable or which are being contested in good faith and for which adequate reserves have been established and (e) encumbrances and liens that arise in the ordinary course of business, do not exceed $10,000 individually or $50,000 in the aggregate, and do not materially impair the ownership or use of the applicable property or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(132) “</w:t>
      </w:r>
      <w:r>
        <w:rPr>
          <w:rFonts w:ascii="Times New Roman;Times;Serif" w:hAnsi="Times New Roman;Times;Serif"/>
          <w:b w:val="false"/>
          <w:i w:val="false"/>
          <w:caps w:val="false"/>
          <w:smallCaps w:val="false"/>
          <w:sz w:val="20"/>
          <w:u w:val="single"/>
        </w:rPr>
        <w:t>Person</w:t>
      </w:r>
      <w:r>
        <w:rPr>
          <w:rFonts w:ascii="Times New Roman;Times;Serif" w:hAnsi="Times New Roman;Times;Serif"/>
          <w:b w:val="false"/>
          <w:i w:val="false"/>
          <w:caps w:val="false"/>
          <w:smallCaps w:val="false"/>
          <w:sz w:val="20"/>
        </w:rPr>
        <w:t>” means a natural person, partnership (general or limited), corporation, limited liability company, business trust, joint stock company, trust, unincorporated association, joint venture, Governmental Entity or other entity or organization.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(133) “</w:t>
      </w:r>
      <w:r>
        <w:rPr>
          <w:rFonts w:ascii="Times New Roman;Times;Serif" w:hAnsi="Times New Roman;Times;Serif"/>
          <w:b w:val="false"/>
          <w:i w:val="false"/>
          <w:caps w:val="false"/>
          <w:smallCaps w:val="false"/>
          <w:sz w:val="20"/>
          <w:u w:val="single"/>
        </w:rPr>
        <w:t>Personal Data</w:t>
      </w:r>
      <w:r>
        <w:rPr>
          <w:rFonts w:ascii="Times New Roman;Times;Serif" w:hAnsi="Times New Roman;Times;Serif"/>
          <w:b w:val="false"/>
          <w:i w:val="false"/>
          <w:caps w:val="false"/>
          <w:smallCaps w:val="false"/>
          <w:sz w:val="20"/>
        </w:rPr>
        <w:t>” means any data relating to an identified or identifiable natural person who can be identified, directly or indirectly, in particular by reference to and identifier such as a name, an identification number, location data, an online identifier or to one or more factors specific to the physical, physiological, genetic, mental, economic, cultural or social identity of that natural person;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(134) “</w:t>
      </w:r>
      <w:r>
        <w:rPr>
          <w:rFonts w:ascii="Times New Roman;Times;Serif" w:hAnsi="Times New Roman;Times;Serif"/>
          <w:b w:val="false"/>
          <w:i w:val="false"/>
          <w:caps w:val="false"/>
          <w:smallCaps w:val="false"/>
          <w:sz w:val="20"/>
          <w:u w:val="single"/>
        </w:rPr>
        <w:t>Pivotal Clinical Study</w:t>
      </w:r>
      <w:r>
        <w:rPr>
          <w:rFonts w:ascii="Times New Roman;Times;Serif" w:hAnsi="Times New Roman;Times;Serif"/>
          <w:b w:val="false"/>
          <w:i w:val="false"/>
          <w:caps w:val="false"/>
          <w:smallCaps w:val="false"/>
          <w:sz w:val="20"/>
        </w:rPr>
        <w:t>” means clinical study or studies specifically required to achieve Regulatory Authorizations.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(135) “</w:t>
      </w:r>
      <w:r>
        <w:rPr>
          <w:rFonts w:ascii="Times New Roman;Times;Serif" w:hAnsi="Times New Roman;Times;Serif"/>
          <w:b w:val="false"/>
          <w:i w:val="false"/>
          <w:caps w:val="false"/>
          <w:smallCaps w:val="false"/>
          <w:sz w:val="20"/>
          <w:u w:val="single"/>
        </w:rPr>
        <w:t>Pre-Closing Transfer Notice</w:t>
      </w:r>
      <w:r>
        <w:rPr>
          <w:rFonts w:ascii="Times New Roman;Times;Serif" w:hAnsi="Times New Roman;Times;Serif"/>
          <w:b w:val="false"/>
          <w:i w:val="false"/>
          <w:caps w:val="false"/>
          <w:smallCaps w:val="false"/>
          <w:sz w:val="20"/>
        </w:rPr>
        <w:t>” has the meaning set forth in Section 10.3(c).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(136) “</w:t>
      </w:r>
      <w:r>
        <w:rPr>
          <w:rFonts w:ascii="Times New Roman;Times;Serif" w:hAnsi="Times New Roman;Times;Serif"/>
          <w:b w:val="false"/>
          <w:i w:val="false"/>
          <w:caps w:val="false"/>
          <w:smallCaps w:val="false"/>
          <w:sz w:val="20"/>
          <w:u w:val="single"/>
        </w:rPr>
        <w:t>Pre-Closing Transfer</w:t>
      </w:r>
      <w:r>
        <w:rPr>
          <w:rFonts w:ascii="Times New Roman;Times;Serif" w:hAnsi="Times New Roman;Times;Serif"/>
          <w:b w:val="false"/>
          <w:i w:val="false"/>
          <w:caps w:val="false"/>
          <w:smallCaps w:val="false"/>
          <w:sz w:val="20"/>
        </w:rPr>
        <w:t>” has the meaning set forth in Section 10.3(c).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(137) </w:t>
      </w:r>
      <w:r>
        <w:rPr>
          <w:rFonts w:ascii="Times New Roman;Times;Serif" w:hAnsi="Times New Roman;Times;Serif"/>
          <w:b w:val="false"/>
          <w:i w:val="false"/>
          <w:caps w:val="false"/>
          <w:smallCaps w:val="false"/>
          <w:sz w:val="20"/>
          <w:u w:val="single"/>
        </w:rPr>
        <w:t>“Pre-Closing Statement”</w:t>
      </w:r>
      <w:r>
        <w:rPr>
          <w:rFonts w:ascii="Times New Roman;Times;Serif" w:hAnsi="Times New Roman;Times;Serif"/>
          <w:b w:val="false"/>
          <w:i w:val="false"/>
          <w:caps w:val="false"/>
          <w:smallCaps w:val="false"/>
          <w:sz w:val="20"/>
        </w:rPr>
        <w:t xml:space="preserve"> has the meaning set forth in Section 1.3.</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(138) “</w:t>
      </w:r>
      <w:r>
        <w:rPr>
          <w:rFonts w:ascii="Times New Roman;Times;Serif" w:hAnsi="Times New Roman;Times;Serif"/>
          <w:b w:val="false"/>
          <w:i w:val="false"/>
          <w:caps w:val="false"/>
          <w:smallCaps w:val="false"/>
          <w:sz w:val="20"/>
          <w:u w:val="single"/>
        </w:rPr>
        <w:t>Proceeding</w:t>
      </w:r>
      <w:r>
        <w:rPr>
          <w:rFonts w:ascii="Times New Roman;Times;Serif" w:hAnsi="Times New Roman;Times;Serif"/>
          <w:b w:val="false"/>
          <w:i w:val="false"/>
          <w:caps w:val="false"/>
          <w:smallCaps w:val="false"/>
          <w:sz w:val="20"/>
        </w:rPr>
        <w:t>” means any action, suit, litigation, arbitration, proceeding (including any civil, criminal, administrative, investigative or appellate proceeding), hearing, inquiry, audit, examination or investigation commenced, brought, conducted or heard by or before, or otherwise involving, any court or other Governmental Entity or any arbitrator or arbitration panel.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(139) “</w:t>
      </w:r>
      <w:r>
        <w:rPr>
          <w:rFonts w:ascii="Times New Roman;Times;Serif" w:hAnsi="Times New Roman;Times;Serif"/>
          <w:b w:val="false"/>
          <w:i w:val="false"/>
          <w:caps w:val="false"/>
          <w:smallCaps w:val="false"/>
          <w:sz w:val="20"/>
          <w:u w:val="single"/>
        </w:rPr>
        <w:t>Purchaser</w:t>
      </w:r>
      <w:r>
        <w:rPr>
          <w:rFonts w:ascii="Times New Roman;Times;Serif" w:hAnsi="Times New Roman;Times;Serif"/>
          <w:b w:val="false"/>
          <w:i w:val="false"/>
          <w:caps w:val="false"/>
          <w:smallCaps w:val="false"/>
          <w:sz w:val="20"/>
        </w:rPr>
        <w:t>” has the meaning set forth in the Preamble.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(140) “</w:t>
      </w:r>
      <w:r>
        <w:rPr>
          <w:rFonts w:ascii="Times New Roman;Times;Serif" w:hAnsi="Times New Roman;Times;Serif"/>
          <w:b w:val="false"/>
          <w:i w:val="false"/>
          <w:caps w:val="false"/>
          <w:smallCaps w:val="false"/>
          <w:sz w:val="20"/>
          <w:u w:val="single"/>
        </w:rPr>
        <w:t>Purchaser Break-Up Fee</w:t>
      </w:r>
      <w:r>
        <w:rPr>
          <w:rFonts w:ascii="Times New Roman;Times;Serif" w:hAnsi="Times New Roman;Times;Serif"/>
          <w:b w:val="false"/>
          <w:i w:val="false"/>
          <w:caps w:val="false"/>
          <w:smallCaps w:val="false"/>
          <w:sz w:val="20"/>
        </w:rPr>
        <w:t>” has the meaning set forth in Section 9.2(b).</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(141) “</w:t>
      </w:r>
      <w:r>
        <w:rPr>
          <w:rFonts w:ascii="Times New Roman;Times;Serif" w:hAnsi="Times New Roman;Times;Serif"/>
          <w:b w:val="false"/>
          <w:i w:val="false"/>
          <w:caps w:val="false"/>
          <w:smallCaps w:val="false"/>
          <w:sz w:val="20"/>
          <w:u w:val="single"/>
        </w:rPr>
        <w:t>Purchaser Common Stock</w:t>
      </w:r>
      <w:r>
        <w:rPr>
          <w:rFonts w:ascii="Times New Roman;Times;Serif" w:hAnsi="Times New Roman;Times;Serif"/>
          <w:b w:val="false"/>
          <w:i w:val="false"/>
          <w:caps w:val="false"/>
          <w:smallCaps w:val="false"/>
          <w:sz w:val="20"/>
        </w:rPr>
        <w:t>” means the common stock of Purchaser, $0.001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(142) “</w:t>
      </w:r>
      <w:r>
        <w:rPr>
          <w:rFonts w:ascii="Times New Roman;Times;Serif" w:hAnsi="Times New Roman;Times;Serif"/>
          <w:b w:val="false"/>
          <w:i w:val="false"/>
          <w:caps w:val="false"/>
          <w:smallCaps w:val="false"/>
          <w:sz w:val="20"/>
          <w:u w:val="single"/>
        </w:rPr>
        <w:t>Purchaser Form 8-K/A</w:t>
      </w:r>
      <w:r>
        <w:rPr>
          <w:rFonts w:ascii="Times New Roman;Times;Serif" w:hAnsi="Times New Roman;Times;Serif"/>
          <w:b w:val="false"/>
          <w:i w:val="false"/>
          <w:caps w:val="false"/>
          <w:smallCaps w:val="false"/>
          <w:sz w:val="20"/>
        </w:rPr>
        <w:t>” has the meaning set forth in Section 6.15(a).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(143) “</w:t>
      </w:r>
      <w:r>
        <w:rPr>
          <w:rFonts w:ascii="Times New Roman;Times;Serif" w:hAnsi="Times New Roman;Times;Serif"/>
          <w:b w:val="false"/>
          <w:i w:val="false"/>
          <w:caps w:val="false"/>
          <w:smallCaps w:val="false"/>
          <w:sz w:val="20"/>
          <w:u w:val="single"/>
        </w:rPr>
        <w:t>Purchaser Financial Statements</w:t>
      </w:r>
      <w:r>
        <w:rPr>
          <w:rFonts w:ascii="Times New Roman;Times;Serif" w:hAnsi="Times New Roman;Times;Serif"/>
          <w:b w:val="false"/>
          <w:i w:val="false"/>
          <w:caps w:val="false"/>
          <w:smallCaps w:val="false"/>
          <w:sz w:val="20"/>
        </w:rPr>
        <w:t>” has the meaning set forth in Section 5.6.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(144) “</w:t>
      </w:r>
      <w:r>
        <w:rPr>
          <w:rFonts w:ascii="Times New Roman;Times;Serif" w:hAnsi="Times New Roman;Times;Serif"/>
          <w:b w:val="false"/>
          <w:i w:val="false"/>
          <w:caps w:val="false"/>
          <w:smallCaps w:val="false"/>
          <w:sz w:val="20"/>
          <w:u w:val="single"/>
        </w:rPr>
        <w:t>Purchaser Indemnified Parties</w:t>
      </w:r>
      <w:r>
        <w:rPr>
          <w:rFonts w:ascii="Times New Roman;Times;Serif" w:hAnsi="Times New Roman;Times;Serif"/>
          <w:b w:val="false"/>
          <w:i w:val="false"/>
          <w:caps w:val="false"/>
          <w:smallCaps w:val="false"/>
          <w:sz w:val="20"/>
        </w:rPr>
        <w:t>” means Purchaser and any of its Affiliates.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(145) “</w:t>
      </w:r>
      <w:r>
        <w:rPr>
          <w:rFonts w:ascii="Times New Roman;Times;Serif" w:hAnsi="Times New Roman;Times;Serif"/>
          <w:b w:val="false"/>
          <w:i w:val="false"/>
          <w:caps w:val="false"/>
          <w:smallCaps w:val="false"/>
          <w:sz w:val="20"/>
          <w:u w:val="single"/>
        </w:rPr>
        <w:t>Purchase Price</w:t>
      </w:r>
      <w:r>
        <w:rPr>
          <w:rFonts w:ascii="Times New Roman;Times;Serif" w:hAnsi="Times New Roman;Times;Serif"/>
          <w:b w:val="false"/>
          <w:i w:val="false"/>
          <w:caps w:val="false"/>
          <w:smallCaps w:val="false"/>
          <w:sz w:val="20"/>
        </w:rPr>
        <w:t>” has the meaning set forth in Section 1.2.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(146) “</w:t>
      </w:r>
      <w:r>
        <w:rPr>
          <w:rFonts w:ascii="Times New Roman;Times;Serif" w:hAnsi="Times New Roman;Times;Serif"/>
          <w:b w:val="false"/>
          <w:i w:val="false"/>
          <w:caps w:val="false"/>
          <w:smallCaps w:val="false"/>
          <w:sz w:val="20"/>
          <w:u w:val="single"/>
        </w:rPr>
        <w:t>Purchaser Representative</w:t>
      </w:r>
      <w:r>
        <w:rPr>
          <w:rFonts w:ascii="Times New Roman;Times;Serif" w:hAnsi="Times New Roman;Times;Serif"/>
          <w:b w:val="false"/>
          <w:i w:val="false"/>
          <w:caps w:val="false"/>
          <w:smallCaps w:val="false"/>
          <w:sz w:val="20"/>
        </w:rPr>
        <w:t>” means, with respect to any Seller, a person who satisfies the requirements of Rule 501(h) of Regulation D promulgated under the Securities Act, including that (i) such person is not an affiliate, director, officer, or other employee of Purchaser or a beneficial owner of ten percent (10%) or more of any class of Purchaser’s equity securities, except where the prospective purchaser is a relative or a trust or estate of, or a company controlled by, such person; (ii) such person has such knowledge and experience in financial and business matters that he or she is capable of evaluating, alone or together with other purchaser representatives of the purchaser, or together with the purchaser, the merits and risks of the prospective investment; and (iii) such person has been acknowledged in writing by the relevant Seller, during the course of the transaction, as such Seller’s purchaser representative in connection with evaluating the merits and risks of the prospective investment in Purchaser Common Stock and/or Purchaser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(147) “</w:t>
      </w:r>
      <w:r>
        <w:rPr>
          <w:rFonts w:ascii="Times New Roman;Times;Serif" w:hAnsi="Times New Roman;Times;Serif"/>
          <w:b w:val="false"/>
          <w:i w:val="false"/>
          <w:caps w:val="false"/>
          <w:smallCaps w:val="false"/>
          <w:sz w:val="20"/>
          <w:u w:val="single"/>
        </w:rPr>
        <w:t>Purchaser Warrants</w:t>
      </w:r>
      <w:r>
        <w:rPr>
          <w:rFonts w:ascii="Times New Roman;Times;Serif" w:hAnsi="Times New Roman;Times;Serif"/>
          <w:b w:val="false"/>
          <w:i w:val="false"/>
          <w:caps w:val="false"/>
          <w:smallCaps w:val="false"/>
          <w:sz w:val="20"/>
        </w:rPr>
        <w:t>” has the meaning set forth in Section 1.2.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(148) “</w:t>
      </w:r>
      <w:r>
        <w:rPr>
          <w:rFonts w:ascii="Times New Roman;Times;Serif" w:hAnsi="Times New Roman;Times;Serif"/>
          <w:b w:val="false"/>
          <w:i w:val="false"/>
          <w:caps w:val="false"/>
          <w:smallCaps w:val="false"/>
          <w:sz w:val="20"/>
          <w:u w:val="single"/>
        </w:rPr>
        <w:t>Purchaser Warrants Agreement</w:t>
      </w:r>
      <w:r>
        <w:rPr>
          <w:rFonts w:ascii="Times New Roman;Times;Serif" w:hAnsi="Times New Roman;Times;Serif"/>
          <w:b w:val="false"/>
          <w:i w:val="false"/>
          <w:caps w:val="false"/>
          <w:smallCaps w:val="false"/>
          <w:sz w:val="20"/>
        </w:rPr>
        <w:t>” has the meaning set forth in Section 2.2(a)(iii).</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(149) </w:t>
      </w:r>
      <w:r>
        <w:rPr>
          <w:rFonts w:ascii="Times New Roman;Times;Serif" w:hAnsi="Times New Roman;Times;Serif"/>
          <w:b w:val="false"/>
          <w:i w:val="false"/>
          <w:caps w:val="false"/>
          <w:smallCaps w:val="false"/>
          <w:sz w:val="20"/>
          <w:u w:val="single"/>
        </w:rPr>
        <w:t>“Remedies Exception”</w:t>
      </w:r>
      <w:r>
        <w:rPr>
          <w:rFonts w:ascii="Times New Roman;Times;Serif" w:hAnsi="Times New Roman;Times;Serif"/>
          <w:b w:val="false"/>
          <w:i w:val="false"/>
          <w:caps w:val="false"/>
          <w:smallCaps w:val="false"/>
          <w:sz w:val="20"/>
        </w:rPr>
        <w:t xml:space="preserve"> means, with respect to enforceability of a Contract against a Person, such Contract is enforceable against such Person in accordance with such Contract’s terms, except to the extent that its enforceability may be subject to applicable bankruptcy, insolvency, reorganization, moratorium, or other similar laws affecting the enforcement of creditors’ rights generally and to general equitable principles.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(150) “</w:t>
      </w:r>
      <w:r>
        <w:rPr>
          <w:rFonts w:ascii="Times New Roman;Times;Serif" w:hAnsi="Times New Roman;Times;Serif"/>
          <w:b w:val="false"/>
          <w:i w:val="false"/>
          <w:caps w:val="false"/>
          <w:smallCaps w:val="false"/>
          <w:sz w:val="20"/>
          <w:u w:val="single"/>
        </w:rPr>
        <w:t>R-One Product</w:t>
      </w:r>
      <w:r>
        <w:rPr>
          <w:rFonts w:ascii="Times New Roman;Times;Serif" w:hAnsi="Times New Roman;Times;Serif"/>
          <w:b w:val="false"/>
          <w:i w:val="false"/>
          <w:caps w:val="false"/>
          <w:smallCaps w:val="false"/>
          <w:sz w:val="20"/>
        </w:rPr>
        <w:t>” means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(151) “</w:t>
      </w:r>
      <w:r>
        <w:rPr>
          <w:rFonts w:ascii="Times New Roman;Times;Serif" w:hAnsi="Times New Roman;Times;Serif"/>
          <w:b w:val="false"/>
          <w:i w:val="false"/>
          <w:caps w:val="false"/>
          <w:smallCaps w:val="false"/>
          <w:sz w:val="20"/>
          <w:u w:val="single"/>
        </w:rPr>
        <w:t>R-Two C</w:t>
      </w:r>
      <w:r>
        <w:rPr>
          <w:rFonts w:ascii="Times New Roman;Times;Serif" w:hAnsi="Times New Roman;Times;Serif"/>
          <w:b w:val="false"/>
          <w:i w:val="false"/>
          <w:caps w:val="false"/>
          <w:smallCaps w:val="false"/>
          <w:sz w:val="20"/>
        </w:rPr>
        <w:t>” means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(152) </w:t>
      </w:r>
      <w:r>
        <w:rPr>
          <w:rFonts w:ascii="Times New Roman;Times;Serif" w:hAnsi="Times New Roman;Times;Serif"/>
          <w:b w:val="false"/>
          <w:i w:val="false"/>
          <w:caps w:val="false"/>
          <w:smallCaps w:val="false"/>
          <w:sz w:val="20"/>
          <w:u w:val="single"/>
        </w:rPr>
        <w:t>“R-Two N</w:t>
      </w:r>
      <w:r>
        <w:rPr>
          <w:rFonts w:ascii="Times New Roman;Times;Serif" w:hAnsi="Times New Roman;Times;Serif"/>
          <w:b w:val="false"/>
          <w:i w:val="false"/>
          <w:caps w:val="false"/>
          <w:smallCaps w:val="false"/>
          <w:sz w:val="20"/>
        </w:rPr>
        <w:t>” means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(153) “</w:t>
      </w:r>
      <w:r>
        <w:rPr>
          <w:rFonts w:ascii="Times New Roman;Times;Serif" w:hAnsi="Times New Roman;Times;Serif"/>
          <w:b w:val="false"/>
          <w:i w:val="false"/>
          <w:caps w:val="false"/>
          <w:smallCaps w:val="false"/>
          <w:sz w:val="20"/>
          <w:u w:val="single"/>
        </w:rPr>
        <w:t>R-Two Products</w:t>
      </w:r>
      <w:r>
        <w:rPr>
          <w:rFonts w:ascii="Times New Roman;Times;Serif" w:hAnsi="Times New Roman;Times;Serif"/>
          <w:b w:val="false"/>
          <w:i w:val="false"/>
          <w:caps w:val="false"/>
          <w:smallCaps w:val="false"/>
          <w:sz w:val="20"/>
        </w:rPr>
        <w:t>” means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(154) “</w:t>
      </w:r>
      <w:r>
        <w:rPr>
          <w:rFonts w:ascii="Times New Roman;Times;Serif" w:hAnsi="Times New Roman;Times;Serif"/>
          <w:b w:val="false"/>
          <w:i w:val="false"/>
          <w:caps w:val="false"/>
          <w:smallCaps w:val="false"/>
          <w:sz w:val="20"/>
          <w:u w:val="single"/>
        </w:rPr>
        <w:t>R&amp;D Tax Credit Risk</w:t>
      </w:r>
      <w:r>
        <w:rPr>
          <w:rFonts w:ascii="Times New Roman;Times;Serif" w:hAnsi="Times New Roman;Times;Serif"/>
          <w:b w:val="false"/>
          <w:i w:val="false"/>
          <w:caps w:val="false"/>
          <w:smallCaps w:val="false"/>
          <w:sz w:val="20"/>
        </w:rPr>
        <w:t>” has the meaning set forth in the definition of Specific Risks.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(155) “</w:t>
      </w:r>
      <w:r>
        <w:rPr>
          <w:rFonts w:ascii="Times New Roman;Times;Serif" w:hAnsi="Times New Roman;Times;Serif"/>
          <w:b w:val="false"/>
          <w:i w:val="false"/>
          <w:caps w:val="false"/>
          <w:smallCaps w:val="false"/>
          <w:sz w:val="20"/>
          <w:u w:val="single"/>
        </w:rPr>
        <w:t>Registered Intellectual Property</w:t>
      </w:r>
      <w:r>
        <w:rPr>
          <w:rFonts w:ascii="Times New Roman;Times;Serif" w:hAnsi="Times New Roman;Times;Serif"/>
          <w:b w:val="false"/>
          <w:i w:val="false"/>
          <w:caps w:val="false"/>
          <w:smallCaps w:val="false"/>
          <w:sz w:val="20"/>
        </w:rPr>
        <w:t>” means all Intellectual Property Rights that are the subject of a pending application or an issued patent, trademark, copyright, domain name or other similar registration formalizing exclusive rights and that are owned by, or registered or currently applied for under the name of, Company or Purchaser (as applicable).</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(156) “</w:t>
      </w:r>
      <w:r>
        <w:rPr>
          <w:rFonts w:ascii="Times New Roman;Times;Serif" w:hAnsi="Times New Roman;Times;Serif"/>
          <w:b w:val="false"/>
          <w:i w:val="false"/>
          <w:caps w:val="false"/>
          <w:smallCaps w:val="false"/>
          <w:sz w:val="20"/>
          <w:u w:val="single"/>
        </w:rPr>
        <w:t>Regulatory Authorizations</w:t>
      </w:r>
      <w:r>
        <w:rPr>
          <w:rFonts w:ascii="Times New Roman;Times;Serif" w:hAnsi="Times New Roman;Times;Serif"/>
          <w:b w:val="false"/>
          <w:i w:val="false"/>
          <w:caps w:val="false"/>
          <w:smallCaps w:val="false"/>
          <w:sz w:val="20"/>
        </w:rPr>
        <w:t>” means any approvals, clearances, authorizations, registrations, exemptions, certifications and licenses granted by any Governmental Entity which administers Health Care Laws, including the FDA and other equivalent agencies.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(157) “</w:t>
      </w:r>
      <w:r>
        <w:rPr>
          <w:rFonts w:ascii="Times New Roman;Times;Serif" w:hAnsi="Times New Roman;Times;Serif"/>
          <w:b w:val="false"/>
          <w:i w:val="false"/>
          <w:caps w:val="false"/>
          <w:smallCaps w:val="false"/>
          <w:sz w:val="20"/>
          <w:u w:val="single"/>
        </w:rPr>
        <w:t>Regulatory Earnout Notice Date”</w:t>
      </w:r>
      <w:r>
        <w:rPr>
          <w:rFonts w:ascii="Times New Roman;Times;Serif" w:hAnsi="Times New Roman;Times;Serif"/>
          <w:b w:val="false"/>
          <w:i w:val="false"/>
          <w:caps w:val="false"/>
          <w:smallCaps w:val="false"/>
          <w:sz w:val="20"/>
        </w:rPr>
        <w:t xml:space="preserve"> has the meaning set forth in Section 1.5.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(158) “</w:t>
      </w:r>
      <w:r>
        <w:rPr>
          <w:rFonts w:ascii="Times New Roman;Times;Serif" w:hAnsi="Times New Roman;Times;Serif"/>
          <w:b w:val="false"/>
          <w:i w:val="false"/>
          <w:caps w:val="false"/>
          <w:smallCaps w:val="false"/>
          <w:sz w:val="20"/>
          <w:u w:val="single"/>
        </w:rPr>
        <w:t>Regulatory Earnout Payment Date</w:t>
      </w:r>
      <w:r>
        <w:rPr>
          <w:rFonts w:ascii="Times New Roman;Times;Serif" w:hAnsi="Times New Roman;Times;Serif"/>
          <w:b w:val="false"/>
          <w:i w:val="false"/>
          <w:caps w:val="false"/>
          <w:smallCaps w:val="false"/>
          <w:sz w:val="20"/>
        </w:rPr>
        <w:t>” has the meaning set forth in Section 1.5.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(159) “</w:t>
      </w:r>
      <w:r>
        <w:rPr>
          <w:rFonts w:ascii="Times New Roman;Times;Serif" w:hAnsi="Times New Roman;Times;Serif"/>
          <w:b w:val="false"/>
          <w:i w:val="false"/>
          <w:caps w:val="false"/>
          <w:smallCaps w:val="false"/>
          <w:sz w:val="20"/>
          <w:u w:val="single"/>
        </w:rPr>
        <w:t>Regulatory Milestone</w:t>
      </w:r>
      <w:r>
        <w:rPr>
          <w:rFonts w:ascii="Times New Roman;Times;Serif" w:hAnsi="Times New Roman;Times;Serif"/>
          <w:b w:val="false"/>
          <w:i w:val="false"/>
          <w:caps w:val="false"/>
          <w:smallCaps w:val="false"/>
          <w:sz w:val="20"/>
        </w:rPr>
        <w:t>” means the obtention of FDA Regulatory Approval as defined in this Agreement. A Regulatory Milestone can only occur at most once.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(160) “</w:t>
      </w:r>
      <w:r>
        <w:rPr>
          <w:rFonts w:ascii="Times New Roman;Times;Serif" w:hAnsi="Times New Roman;Times;Serif"/>
          <w:b w:val="false"/>
          <w:i w:val="false"/>
          <w:caps w:val="false"/>
          <w:smallCaps w:val="false"/>
          <w:sz w:val="20"/>
          <w:u w:val="single"/>
        </w:rPr>
        <w:t>Regulatory Milestone Consideration</w:t>
      </w:r>
      <w:r>
        <w:rPr>
          <w:rFonts w:ascii="Times New Roman;Times;Serif" w:hAnsi="Times New Roman;Times;Serif"/>
          <w:b w:val="false"/>
          <w:i w:val="false"/>
          <w:caps w:val="false"/>
          <w:smallCaps w:val="false"/>
          <w:sz w:val="20"/>
        </w:rPr>
        <w:t>” means $ 10,000,000 (Ten Million United States Dollars).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(161) “</w:t>
      </w:r>
      <w:r>
        <w:rPr>
          <w:rFonts w:ascii="Times New Roman;Times;Serif" w:hAnsi="Times New Roman;Times;Serif"/>
          <w:b w:val="false"/>
          <w:i w:val="false"/>
          <w:caps w:val="false"/>
          <w:smallCaps w:val="false"/>
          <w:sz w:val="20"/>
          <w:u w:val="single"/>
        </w:rPr>
        <w:t>Regulatory Milestone Period</w:t>
      </w:r>
      <w:r>
        <w:rPr>
          <w:rFonts w:ascii="Times New Roman;Times;Serif" w:hAnsi="Times New Roman;Times;Serif"/>
          <w:b w:val="false"/>
          <w:i w:val="false"/>
          <w:caps w:val="false"/>
          <w:smallCaps w:val="false"/>
          <w:sz w:val="20"/>
        </w:rPr>
        <w:t>” means the period commencing as of the Closing Date of this Agreement and ending on December 31, 2033.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(162) “</w:t>
      </w:r>
      <w:r>
        <w:rPr>
          <w:rFonts w:ascii="Times New Roman;Times;Serif" w:hAnsi="Times New Roman;Times;Serif"/>
          <w:b w:val="false"/>
          <w:i w:val="false"/>
          <w:caps w:val="false"/>
          <w:smallCaps w:val="false"/>
          <w:sz w:val="20"/>
          <w:u w:val="single"/>
        </w:rPr>
        <w:t>Registrable Securities</w:t>
      </w:r>
      <w:r>
        <w:rPr>
          <w:rFonts w:ascii="Times New Roman;Times;Serif" w:hAnsi="Times New Roman;Times;Serif"/>
          <w:b w:val="false"/>
          <w:i w:val="false"/>
          <w:caps w:val="false"/>
          <w:smallCaps w:val="false"/>
          <w:sz w:val="20"/>
        </w:rPr>
        <w:t>” has the meaning set forth in Section 6.10(a).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(163) “</w:t>
      </w:r>
      <w:r>
        <w:rPr>
          <w:rFonts w:ascii="Times New Roman;Times;Serif" w:hAnsi="Times New Roman;Times;Serif"/>
          <w:b w:val="false"/>
          <w:i w:val="false"/>
          <w:caps w:val="false"/>
          <w:smallCaps w:val="false"/>
          <w:sz w:val="20"/>
          <w:u w:val="single"/>
        </w:rPr>
        <w:t>Registration Statement</w:t>
      </w:r>
      <w:r>
        <w:rPr>
          <w:rFonts w:ascii="Times New Roman;Times;Serif" w:hAnsi="Times New Roman;Times;Serif"/>
          <w:b w:val="false"/>
          <w:i w:val="false"/>
          <w:caps w:val="false"/>
          <w:smallCaps w:val="false"/>
          <w:sz w:val="20"/>
        </w:rPr>
        <w:t>” has the meaning set forth in Section 6.10(a).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(164) “</w:t>
      </w:r>
      <w:r>
        <w:rPr>
          <w:rFonts w:ascii="Times New Roman;Times;Serif" w:hAnsi="Times New Roman;Times;Serif"/>
          <w:b w:val="false"/>
          <w:i w:val="false"/>
          <w:caps w:val="false"/>
          <w:smallCaps w:val="false"/>
          <w:sz w:val="20"/>
          <w:u w:val="single"/>
        </w:rPr>
        <w:t>Regulation S Seller</w:t>
      </w:r>
      <w:r>
        <w:rPr>
          <w:rFonts w:ascii="Times New Roman;Times;Serif" w:hAnsi="Times New Roman;Times;Serif"/>
          <w:b w:val="false"/>
          <w:i w:val="false"/>
          <w:caps w:val="false"/>
          <w:smallCaps w:val="false"/>
          <w:sz w:val="20"/>
        </w:rPr>
        <w:t>” has the meaning set forth in Section 4.5(h).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(165) “</w:t>
      </w:r>
      <w:r>
        <w:rPr>
          <w:rFonts w:ascii="Times New Roman;Times;Serif" w:hAnsi="Times New Roman;Times;Serif"/>
          <w:b w:val="false"/>
          <w:i w:val="false"/>
          <w:caps w:val="false"/>
          <w:smallCaps w:val="false"/>
          <w:sz w:val="20"/>
          <w:u w:val="single"/>
        </w:rPr>
        <w:t>Regulation D Seller</w:t>
      </w:r>
      <w:r>
        <w:rPr>
          <w:rFonts w:ascii="Times New Roman;Times;Serif" w:hAnsi="Times New Roman;Times;Serif"/>
          <w:b w:val="false"/>
          <w:i w:val="false"/>
          <w:caps w:val="false"/>
          <w:smallCaps w:val="false"/>
          <w:sz w:val="20"/>
        </w:rPr>
        <w:t>” has the meaning set forth in Section 4.6(c).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(166) “</w:t>
      </w:r>
      <w:r>
        <w:rPr>
          <w:rFonts w:ascii="Times New Roman;Times;Serif" w:hAnsi="Times New Roman;Times;Serif"/>
          <w:b w:val="false"/>
          <w:i w:val="false"/>
          <w:caps w:val="false"/>
          <w:smallCaps w:val="false"/>
          <w:sz w:val="20"/>
          <w:u w:val="single"/>
        </w:rPr>
        <w:t>Regulation S-X</w:t>
      </w:r>
      <w:r>
        <w:rPr>
          <w:rFonts w:ascii="Times New Roman;Times;Serif" w:hAnsi="Times New Roman;Times;Serif"/>
          <w:b w:val="false"/>
          <w:i w:val="false"/>
          <w:caps w:val="false"/>
          <w:smallCaps w:val="false"/>
          <w:sz w:val="20"/>
        </w:rPr>
        <w:t>” has the meaning set forth in Section 6.15(a).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(167) “</w:t>
      </w:r>
      <w:r>
        <w:rPr>
          <w:rFonts w:ascii="Times New Roman;Times;Serif" w:hAnsi="Times New Roman;Times;Serif"/>
          <w:b w:val="false"/>
          <w:i w:val="false"/>
          <w:caps w:val="false"/>
          <w:smallCaps w:val="false"/>
          <w:sz w:val="20"/>
          <w:u w:val="single"/>
        </w:rPr>
        <w:t>Related Agreements</w:t>
      </w:r>
      <w:r>
        <w:rPr>
          <w:rFonts w:ascii="Times New Roman;Times;Serif" w:hAnsi="Times New Roman;Times;Serif"/>
          <w:b w:val="false"/>
          <w:i w:val="false"/>
          <w:caps w:val="false"/>
          <w:smallCaps w:val="false"/>
          <w:sz w:val="20"/>
        </w:rPr>
        <w:t>” means all the ancillary agreements required by this Agreement to be executed and delivered in connection with the Transactions, including, without limitation, the Resale Organisation Agreement, the Conciliation Protocol and the Purchaser Warrants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(168) “</w:t>
      </w:r>
      <w:r>
        <w:rPr>
          <w:rFonts w:ascii="Times New Roman;Times;Serif" w:hAnsi="Times New Roman;Times;Serif"/>
          <w:b w:val="false"/>
          <w:i w:val="false"/>
          <w:caps w:val="false"/>
          <w:smallCaps w:val="false"/>
          <w:sz w:val="20"/>
          <w:u w:val="single"/>
        </w:rPr>
        <w:t>Related Claim</w:t>
      </w:r>
      <w:r>
        <w:rPr>
          <w:rFonts w:ascii="Times New Roman;Times;Serif" w:hAnsi="Times New Roman;Times;Serif"/>
          <w:b w:val="false"/>
          <w:i w:val="false"/>
          <w:caps w:val="false"/>
          <w:smallCaps w:val="false"/>
          <w:sz w:val="20"/>
        </w:rPr>
        <w:t>” has the meaning set forth in Section 8.3(a).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(169) “</w:t>
      </w:r>
      <w:r>
        <w:rPr>
          <w:rFonts w:ascii="Times New Roman;Times;Serif" w:hAnsi="Times New Roman;Times;Serif"/>
          <w:b w:val="false"/>
          <w:i w:val="false"/>
          <w:caps w:val="false"/>
          <w:smallCaps w:val="false"/>
          <w:sz w:val="20"/>
          <w:u w:val="single"/>
        </w:rPr>
        <w:t>Related Party</w:t>
      </w:r>
      <w:r>
        <w:rPr>
          <w:rFonts w:ascii="Times New Roman;Times;Serif" w:hAnsi="Times New Roman;Times;Serif"/>
          <w:b w:val="false"/>
          <w:i w:val="false"/>
          <w:caps w:val="false"/>
          <w:smallCaps w:val="false"/>
          <w:sz w:val="20"/>
        </w:rPr>
        <w:t>” means (a) each of the shareholders of Company; (b) each individual who is an officer or director of Company; (c) each member of the immediate family of each of the individuals referred to in clause (a) and (b) above; and (d) any trust or other Person (other than Company) in which any one of the Persons referred to in clauses (a), (b) or (c) above holds (or in which more than one of such Persons collectively hold), beneficially or otherwise, a material voting, proprietary, equity or other financial interest.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(170) “</w:t>
      </w:r>
      <w:r>
        <w:rPr>
          <w:rFonts w:ascii="Times New Roman;Times;Serif" w:hAnsi="Times New Roman;Times;Serif"/>
          <w:b w:val="false"/>
          <w:i w:val="false"/>
          <w:caps w:val="false"/>
          <w:smallCaps w:val="false"/>
          <w:sz w:val="20"/>
          <w:u w:val="single"/>
        </w:rPr>
        <w:t>Representative Losses</w:t>
      </w:r>
      <w:r>
        <w:rPr>
          <w:rFonts w:ascii="Times New Roman;Times;Serif" w:hAnsi="Times New Roman;Times;Serif"/>
          <w:b w:val="false"/>
          <w:i w:val="false"/>
          <w:caps w:val="false"/>
          <w:smallCaps w:val="false"/>
          <w:sz w:val="20"/>
        </w:rPr>
        <w:t>” has the meaning set forth in Section 8.9(c).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(171) “</w:t>
      </w:r>
      <w:r>
        <w:rPr>
          <w:rFonts w:ascii="Times New Roman;Times;Serif" w:hAnsi="Times New Roman;Times;Serif"/>
          <w:b w:val="false"/>
          <w:i w:val="false"/>
          <w:caps w:val="false"/>
          <w:smallCaps w:val="false"/>
          <w:sz w:val="20"/>
          <w:u w:val="single"/>
        </w:rPr>
        <w:t>Representatives</w:t>
      </w:r>
      <w:r>
        <w:rPr>
          <w:rFonts w:ascii="Times New Roman;Times;Serif" w:hAnsi="Times New Roman;Times;Serif"/>
          <w:b w:val="false"/>
          <w:i w:val="false"/>
          <w:caps w:val="false"/>
          <w:smallCaps w:val="false"/>
          <w:sz w:val="20"/>
        </w:rPr>
        <w:t>” means, with respect to any Party, such Party’s Affiliates and stockholders and any officers, directors, employees, consultants, advisors, trustees, accountants, agents, representatives and attorneys, or any representative thereof, including without limitation, any broker disclosed in Article II or Article IV 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(172) “</w:t>
      </w:r>
      <w:r>
        <w:rPr>
          <w:rFonts w:ascii="Times New Roman;Times;Serif" w:hAnsi="Times New Roman;Times;Serif"/>
          <w:b w:val="false"/>
          <w:i w:val="false"/>
          <w:caps w:val="false"/>
          <w:smallCaps w:val="false"/>
          <w:sz w:val="20"/>
          <w:u w:val="single"/>
        </w:rPr>
        <w:t>Requisite Sellers</w:t>
      </w:r>
      <w:r>
        <w:rPr>
          <w:rFonts w:ascii="Times New Roman;Times;Serif" w:hAnsi="Times New Roman;Times;Serif"/>
          <w:b w:val="false"/>
          <w:i w:val="false"/>
          <w:caps w:val="false"/>
          <w:smallCaps w:val="false"/>
          <w:sz w:val="20"/>
        </w:rPr>
        <w:t>” has the meaning set forth in Section 8.9(c).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(173) </w:t>
      </w:r>
      <w:r>
        <w:rPr>
          <w:rFonts w:ascii="Times New Roman;Times;Serif" w:hAnsi="Times New Roman;Times;Serif"/>
          <w:b w:val="false"/>
          <w:i w:val="false"/>
          <w:caps w:val="false"/>
          <w:smallCaps w:val="false"/>
          <w:sz w:val="20"/>
          <w:u w:val="single"/>
        </w:rPr>
        <w:t>“Resale Organisation Agreement”</w:t>
      </w:r>
      <w:r>
        <w:rPr>
          <w:rFonts w:ascii="Times New Roman;Times;Serif" w:hAnsi="Times New Roman;Times;Serif"/>
          <w:b w:val="false"/>
          <w:i w:val="false"/>
          <w:caps w:val="false"/>
          <w:smallCaps w:val="false"/>
          <w:sz w:val="20"/>
        </w:rPr>
        <w:t xml:space="preserve"> has the meaning set forth in Section 2.2(a)(v).</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(174) “</w:t>
      </w:r>
      <w:r>
        <w:rPr>
          <w:rFonts w:ascii="Times New Roman;Times;Serif" w:hAnsi="Times New Roman;Times;Serif"/>
          <w:b w:val="false"/>
          <w:i w:val="false"/>
          <w:caps w:val="false"/>
          <w:smallCaps w:val="false"/>
          <w:sz w:val="20"/>
          <w:u w:val="single"/>
        </w:rPr>
        <w:t>Review Period</w:t>
      </w:r>
      <w:r>
        <w:rPr>
          <w:rFonts w:ascii="Times New Roman;Times;Serif" w:hAnsi="Times New Roman;Times;Serif"/>
          <w:b w:val="false"/>
          <w:i w:val="false"/>
          <w:caps w:val="false"/>
          <w:smallCaps w:val="false"/>
          <w:sz w:val="20"/>
        </w:rPr>
        <w:t>” has the meaning set forth in Section 1.4.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(175) “</w:t>
      </w:r>
      <w:r>
        <w:rPr>
          <w:rFonts w:ascii="Times New Roman;Times;Serif" w:hAnsi="Times New Roman;Times;Serif"/>
          <w:b w:val="false"/>
          <w:i w:val="false"/>
          <w:caps w:val="false"/>
          <w:smallCaps w:val="false"/>
          <w:sz w:val="20"/>
          <w:u w:val="single"/>
        </w:rPr>
        <w:t>Securities Act</w:t>
      </w:r>
      <w:r>
        <w:rPr>
          <w:rFonts w:ascii="Times New Roman;Times;Serif" w:hAnsi="Times New Roman;Times;Serif"/>
          <w:b w:val="false"/>
          <w:i w:val="false"/>
          <w:caps w:val="false"/>
          <w:smallCaps w:val="false"/>
          <w:sz w:val="20"/>
        </w:rPr>
        <w:t>” means the Securities Act of 1933, as amended, and the rules and regulations promulgated thereunder.</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(176) “</w:t>
      </w:r>
      <w:r>
        <w:rPr>
          <w:rFonts w:ascii="Times New Roman;Times;Serif" w:hAnsi="Times New Roman;Times;Serif"/>
          <w:b w:val="false"/>
          <w:i w:val="false"/>
          <w:caps w:val="false"/>
          <w:smallCaps w:val="false"/>
          <w:sz w:val="20"/>
          <w:u w:val="single"/>
        </w:rPr>
        <w:t>SEC Reports</w:t>
      </w:r>
      <w:r>
        <w:rPr>
          <w:rFonts w:ascii="Times New Roman;Times;Serif" w:hAnsi="Times New Roman;Times;Serif"/>
          <w:b w:val="false"/>
          <w:i w:val="false"/>
          <w:caps w:val="false"/>
          <w:smallCaps w:val="false"/>
          <w:sz w:val="20"/>
        </w:rPr>
        <w:t>” has the meaning set forth in Section 5.4.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(177) “</w:t>
      </w:r>
      <w:r>
        <w:rPr>
          <w:rFonts w:ascii="Times New Roman;Times;Serif" w:hAnsi="Times New Roman;Times;Serif"/>
          <w:b w:val="false"/>
          <w:i w:val="false"/>
          <w:caps w:val="false"/>
          <w:smallCaps w:val="false"/>
          <w:sz w:val="20"/>
          <w:u w:val="single"/>
        </w:rPr>
        <w:t>Sellers Representatives</w:t>
      </w:r>
      <w:r>
        <w:rPr>
          <w:rFonts w:ascii="Times New Roman;Times;Serif" w:hAnsi="Times New Roman;Times;Serif"/>
          <w:b w:val="false"/>
          <w:i w:val="false"/>
          <w:caps w:val="false"/>
          <w:smallCaps w:val="false"/>
          <w:sz w:val="20"/>
        </w:rPr>
        <w:t>” has the meaning set forth in Section 8.9.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(178) “</w:t>
      </w:r>
      <w:r>
        <w:rPr>
          <w:rFonts w:ascii="Times New Roman;Times;Serif" w:hAnsi="Times New Roman;Times;Serif"/>
          <w:b w:val="false"/>
          <w:i w:val="false"/>
          <w:caps w:val="false"/>
          <w:smallCaps w:val="false"/>
          <w:sz w:val="20"/>
          <w:u w:val="single"/>
        </w:rPr>
        <w:t>Sellers Bank Account</w:t>
      </w:r>
      <w:r>
        <w:rPr>
          <w:rFonts w:ascii="Times New Roman;Times;Serif" w:hAnsi="Times New Roman;Times;Serif"/>
          <w:b w:val="false"/>
          <w:i w:val="false"/>
          <w:caps w:val="false"/>
          <w:smallCaps w:val="false"/>
          <w:sz w:val="20"/>
        </w:rPr>
        <w:t>” means the CARPA (</w:t>
      </w:r>
      <w:r>
        <w:rPr>
          <w:rFonts w:ascii="Times New Roman;Times;Serif" w:hAnsi="Times New Roman;Times;Serif"/>
          <w:b w:val="false"/>
          <w:i/>
          <w:caps w:val="false"/>
          <w:smallCaps w:val="false"/>
          <w:sz w:val="20"/>
        </w:rPr>
        <w:t>Caisse des Règlements Pécuniaires des Avocats</w:t>
      </w:r>
      <w:r>
        <w:rPr>
          <w:rFonts w:ascii="Times New Roman;Times;Serif" w:hAnsi="Times New Roman;Times;Serif"/>
          <w:b w:val="false"/>
          <w:i w:val="false"/>
          <w:caps w:val="false"/>
          <w:smallCaps w:val="false"/>
          <w:sz w:val="20"/>
        </w:rPr>
        <w:t>) account designated in writing by the Sellers Representatives to Purchaser no later than five (5) Business Days prior to the Closing Date, the details of which shall be set forth in the Consideration Allocation Spreadsheet, it being provided that any payment made in accordance with this Agreement to the Sellers Bank Account shall properly discharge the Purchaser from the relevant payment obligation, the Sellers being responsible for the distribution and allocation of the relevant proceeds to the relevant Sellers from the Sellers Bank Account.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(179) “</w:t>
      </w:r>
      <w:r>
        <w:rPr>
          <w:rFonts w:ascii="Times New Roman;Times;Serif" w:hAnsi="Times New Roman;Times;Serif"/>
          <w:b w:val="false"/>
          <w:i w:val="false"/>
          <w:caps w:val="false"/>
          <w:smallCaps w:val="false"/>
          <w:sz w:val="20"/>
          <w:u w:val="single"/>
        </w:rPr>
        <w:t>Sellers</w:t>
      </w:r>
      <w:r>
        <w:rPr>
          <w:rFonts w:ascii="Times New Roman;Times;Serif" w:hAnsi="Times New Roman;Times;Serif"/>
          <w:b w:val="false"/>
          <w:i w:val="false"/>
          <w:caps w:val="false"/>
          <w:smallCaps w:val="false"/>
          <w:sz w:val="20"/>
        </w:rPr>
        <w:t>” has the meaning set forth in the Preamble.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(180) “</w:t>
      </w:r>
      <w:r>
        <w:rPr>
          <w:rFonts w:ascii="Times New Roman;Times;Serif" w:hAnsi="Times New Roman;Times;Serif"/>
          <w:b w:val="false"/>
          <w:i w:val="false"/>
          <w:caps w:val="false"/>
          <w:smallCaps w:val="false"/>
          <w:sz w:val="20"/>
          <w:u w:val="single"/>
        </w:rPr>
        <w:t>Sellers Bring Down Certificate</w:t>
      </w:r>
      <w:r>
        <w:rPr>
          <w:rFonts w:ascii="Times New Roman;Times;Serif" w:hAnsi="Times New Roman;Times;Serif"/>
          <w:b w:val="false"/>
          <w:i w:val="false"/>
          <w:caps w:val="false"/>
          <w:smallCaps w:val="false"/>
          <w:sz w:val="20"/>
        </w:rPr>
        <w:t xml:space="preserve">” shall mean the executed bring down certificate in the form attached as </w:t>
      </w:r>
      <w:r>
        <w:rPr>
          <w:rFonts w:ascii="Times New Roman;Times;Serif" w:hAnsi="Times New Roman;Times;Serif"/>
          <w:b w:val="false"/>
          <w:i w:val="false"/>
          <w:caps w:val="false"/>
          <w:smallCaps w:val="false"/>
          <w:sz w:val="20"/>
          <w:u w:val="single"/>
        </w:rPr>
        <w:t>Exhibit 2.2(b)(ix)</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(181) “</w:t>
      </w:r>
      <w:r>
        <w:rPr>
          <w:rFonts w:ascii="Times New Roman;Times;Serif" w:hAnsi="Times New Roman;Times;Serif"/>
          <w:b w:val="false"/>
          <w:i w:val="false"/>
          <w:caps w:val="false"/>
          <w:smallCaps w:val="false"/>
          <w:sz w:val="20"/>
          <w:u w:val="single"/>
        </w:rPr>
        <w:t>Sellers Transaction Expenses</w:t>
      </w:r>
      <w:r>
        <w:rPr>
          <w:rFonts w:ascii="Times New Roman;Times;Serif" w:hAnsi="Times New Roman;Times;Serif"/>
          <w:b w:val="false"/>
          <w:i w:val="false"/>
          <w:caps w:val="false"/>
          <w:smallCaps w:val="false"/>
          <w:sz w:val="20"/>
        </w:rPr>
        <w:t>” means any and all Transaction Expenses incurred by the Company, related to the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(182) “</w:t>
      </w:r>
      <w:r>
        <w:rPr>
          <w:rFonts w:ascii="Times New Roman;Times;Serif" w:hAnsi="Times New Roman;Times;Serif"/>
          <w:b w:val="false"/>
          <w:i w:val="false"/>
          <w:caps w:val="false"/>
          <w:smallCaps w:val="false"/>
          <w:sz w:val="20"/>
          <w:u w:val="single"/>
        </w:rPr>
        <w:t>Share Cap</w:t>
      </w:r>
      <w:r>
        <w:rPr>
          <w:rFonts w:ascii="Times New Roman;Times;Serif" w:hAnsi="Times New Roman;Times;Serif"/>
          <w:b w:val="false"/>
          <w:i w:val="false"/>
          <w:caps w:val="false"/>
          <w:smallCaps w:val="false"/>
          <w:sz w:val="20"/>
        </w:rPr>
        <w:t>” means 19.9% of the total number of shares of Purchaser Common Stock issued and outstanding immediately prior to the Closing.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(183) “</w:t>
      </w:r>
      <w:r>
        <w:rPr>
          <w:rFonts w:ascii="Times New Roman;Times;Serif" w:hAnsi="Times New Roman;Times;Serif"/>
          <w:b w:val="false"/>
          <w:i w:val="false"/>
          <w:caps w:val="false"/>
          <w:smallCaps w:val="false"/>
          <w:sz w:val="20"/>
          <w:u w:val="single"/>
        </w:rPr>
        <w:t>Shares</w:t>
      </w:r>
      <w:r>
        <w:rPr>
          <w:rFonts w:ascii="Times New Roman;Times;Serif" w:hAnsi="Times New Roman;Times;Serif"/>
          <w:b w:val="false"/>
          <w:i w:val="false"/>
          <w:caps w:val="false"/>
          <w:smallCaps w:val="false"/>
          <w:sz w:val="20"/>
        </w:rPr>
        <w:t>” has the meaning set forth in the Recitals.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(184) “</w:t>
      </w:r>
      <w:r>
        <w:rPr>
          <w:rFonts w:ascii="Times New Roman;Times;Serif" w:hAnsi="Times New Roman;Times;Serif"/>
          <w:b w:val="false"/>
          <w:i w:val="false"/>
          <w:caps w:val="false"/>
          <w:smallCaps w:val="false"/>
          <w:sz w:val="20"/>
          <w:u w:val="single"/>
        </w:rPr>
        <w:t>Sold Securities</w:t>
      </w:r>
      <w:r>
        <w:rPr>
          <w:rFonts w:ascii="Times New Roman;Times;Serif" w:hAnsi="Times New Roman;Times;Serif"/>
          <w:b w:val="false"/>
          <w:i w:val="false"/>
          <w:caps w:val="false"/>
          <w:smallCaps w:val="false"/>
          <w:sz w:val="20"/>
        </w:rPr>
        <w:t>” has the meaning set forth in the Recitals.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(185) “</w:t>
      </w:r>
      <w:r>
        <w:rPr>
          <w:rFonts w:ascii="Times New Roman;Times;Serif" w:hAnsi="Times New Roman;Times;Serif"/>
          <w:b w:val="false"/>
          <w:i w:val="false"/>
          <w:caps w:val="false"/>
          <w:smallCaps w:val="false"/>
          <w:sz w:val="20"/>
          <w:u w:val="single"/>
        </w:rPr>
        <w:t>Share Issuance Ledger</w:t>
      </w:r>
      <w:r>
        <w:rPr>
          <w:rFonts w:ascii="Times New Roman;Times;Serif" w:hAnsi="Times New Roman;Times;Serif"/>
          <w:b w:val="false"/>
          <w:i w:val="false"/>
          <w:caps w:val="false"/>
          <w:smallCaps w:val="false"/>
          <w:sz w:val="20"/>
        </w:rPr>
        <w:t>” has the meaning set forth in Section 1.2(b).</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(186) “</w:t>
      </w:r>
      <w:r>
        <w:rPr>
          <w:rFonts w:ascii="Times New Roman;Times;Serif" w:hAnsi="Times New Roman;Times;Serif"/>
          <w:b w:val="false"/>
          <w:i w:val="false"/>
          <w:caps w:val="false"/>
          <w:smallCaps w:val="false"/>
          <w:sz w:val="20"/>
          <w:u w:val="single"/>
        </w:rPr>
        <w:t>Specific Risks</w:t>
      </w:r>
      <w:r>
        <w:rPr>
          <w:rFonts w:ascii="Times New Roman;Times;Serif" w:hAnsi="Times New Roman;Times;Serif"/>
          <w:b w:val="false"/>
          <w:i w:val="false"/>
          <w:caps w:val="false"/>
          <w:smallCaps w:val="false"/>
          <w:sz w:val="20"/>
        </w:rPr>
        <w:t>” means (i) a Tax reassessment of the Company with respect to the R&amp;D tax credit (</w:t>
      </w:r>
      <w:r>
        <w:rPr>
          <w:rFonts w:ascii="Times New Roman;Times;Serif" w:hAnsi="Times New Roman;Times;Serif"/>
          <w:b w:val="false"/>
          <w:i/>
          <w:caps w:val="false"/>
          <w:smallCaps w:val="false"/>
          <w:sz w:val="20"/>
        </w:rPr>
        <w:t>credit impot recherche</w:t>
      </w:r>
      <w:r>
        <w:rPr>
          <w:rFonts w:ascii="Times New Roman;Times;Serif" w:hAnsi="Times New Roman;Times;Serif"/>
          <w:b w:val="false"/>
          <w:i w:val="false"/>
          <w:caps w:val="false"/>
          <w:smallCaps w:val="false"/>
          <w:sz w:val="20"/>
        </w:rPr>
        <w:t>) for the years 2021 to 2025 (the “</w:t>
      </w:r>
      <w:r>
        <w:rPr>
          <w:rFonts w:ascii="Times New Roman;Times;Serif" w:hAnsi="Times New Roman;Times;Serif"/>
          <w:b w:val="false"/>
          <w:i w:val="false"/>
          <w:caps w:val="false"/>
          <w:smallCaps w:val="false"/>
          <w:sz w:val="20"/>
          <w:u w:val="single"/>
        </w:rPr>
        <w:t>R&amp;D Tax Credit Risk</w:t>
      </w:r>
      <w:r>
        <w:rPr>
          <w:rFonts w:ascii="Times New Roman;Times;Serif" w:hAnsi="Times New Roman;Times;Serif"/>
          <w:b w:val="false"/>
          <w:i w:val="false"/>
          <w:caps w:val="false"/>
          <w:smallCaps w:val="false"/>
          <w:sz w:val="20"/>
        </w:rPr>
        <w:t>”) and/or (ii) Mr. [***] claim against the Company disclosed in Disclosure Schedule 3.6 (the “</w:t>
      </w:r>
      <w:r>
        <w:rPr>
          <w:rFonts w:ascii="Times New Roman;Times;Serif" w:hAnsi="Times New Roman;Times;Serif"/>
          <w:b w:val="false"/>
          <w:i w:val="false"/>
          <w:caps w:val="false"/>
          <w:smallCaps w:val="false"/>
          <w:sz w:val="20"/>
          <w:u w:val="single"/>
        </w:rPr>
        <w:t>Employee Risk</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(187) “</w:t>
      </w:r>
      <w:r>
        <w:rPr>
          <w:rFonts w:ascii="Times New Roman;Times;Serif" w:hAnsi="Times New Roman;Times;Serif"/>
          <w:b w:val="false"/>
          <w:i w:val="false"/>
          <w:caps w:val="false"/>
          <w:smallCaps w:val="false"/>
          <w:sz w:val="20"/>
          <w:u w:val="single"/>
        </w:rPr>
        <w:t>Specific Risk Deduction</w:t>
      </w:r>
      <w:r>
        <w:rPr>
          <w:rFonts w:ascii="Times New Roman;Times;Serif" w:hAnsi="Times New Roman;Times;Serif"/>
          <w:b w:val="false"/>
          <w:i w:val="false"/>
          <w:caps w:val="false"/>
          <w:smallCaps w:val="false"/>
          <w:sz w:val="20"/>
        </w:rPr>
        <w:t>” means, with respect to each Specific Risk, the associated amount deducted from the Upfront Consideration, ie €[***] for the R&amp;D Tax Credit Risk and €[***] for the Employee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(188) “</w:t>
      </w:r>
      <w:r>
        <w:rPr>
          <w:rFonts w:ascii="Times New Roman;Times;Serif" w:hAnsi="Times New Roman;Times;Serif"/>
          <w:b w:val="false"/>
          <w:i w:val="false"/>
          <w:caps w:val="false"/>
          <w:smallCaps w:val="false"/>
          <w:sz w:val="20"/>
          <w:u w:val="single"/>
        </w:rPr>
        <w:t>Specific Risk Damages</w:t>
      </w:r>
      <w:r>
        <w:rPr>
          <w:rFonts w:ascii="Times New Roman;Times;Serif" w:hAnsi="Times New Roman;Times;Serif"/>
          <w:b w:val="false"/>
          <w:i w:val="false"/>
          <w:caps w:val="false"/>
          <w:smallCaps w:val="false"/>
          <w:sz w:val="20"/>
        </w:rPr>
        <w:t>” has the meaning set forth in Section 8.6(d).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(189) “</w:t>
      </w:r>
      <w:r>
        <w:rPr>
          <w:rFonts w:ascii="Times New Roman;Times;Serif" w:hAnsi="Times New Roman;Times;Serif"/>
          <w:b w:val="false"/>
          <w:i w:val="false"/>
          <w:caps w:val="false"/>
          <w:smallCaps w:val="false"/>
          <w:sz w:val="20"/>
          <w:u w:val="single"/>
        </w:rPr>
        <w:t>Subsidiary</w:t>
      </w:r>
      <w:r>
        <w:rPr>
          <w:rFonts w:ascii="Times New Roman;Times;Serif" w:hAnsi="Times New Roman;Times;Serif"/>
          <w:b w:val="false"/>
          <w:i w:val="false"/>
          <w:caps w:val="false"/>
          <w:smallCaps w:val="false"/>
          <w:sz w:val="20"/>
        </w:rPr>
        <w:t>” of a Person means any other Person more than 50% of the voting stock (or of any other form of other voting or controlling equity interest in the case of a Person that is not a corporation) of which is beneficially owned by the Person directly or indirectly through one or more other Persons.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(190) “</w:t>
      </w:r>
      <w:r>
        <w:rPr>
          <w:rFonts w:ascii="Times New Roman;Times;Serif" w:hAnsi="Times New Roman;Times;Serif"/>
          <w:b w:val="false"/>
          <w:i w:val="false"/>
          <w:caps w:val="false"/>
          <w:smallCaps w:val="false"/>
          <w:sz w:val="20"/>
          <w:u w:val="single"/>
        </w:rPr>
        <w:t>Supplemental Required Information</w:t>
      </w:r>
      <w:r>
        <w:rPr>
          <w:rFonts w:ascii="Times New Roman;Times;Serif" w:hAnsi="Times New Roman;Times;Serif"/>
          <w:b w:val="false"/>
          <w:i w:val="false"/>
          <w:caps w:val="false"/>
          <w:smallCaps w:val="false"/>
          <w:sz w:val="20"/>
        </w:rPr>
        <w:t>” has the meaning set forth in Section 6.10(a).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(191) “</w:t>
      </w:r>
      <w:r>
        <w:rPr>
          <w:rFonts w:ascii="Times New Roman;Times;Serif" w:hAnsi="Times New Roman;Times;Serif"/>
          <w:b w:val="false"/>
          <w:i w:val="false"/>
          <w:caps w:val="false"/>
          <w:smallCaps w:val="false"/>
          <w:sz w:val="20"/>
          <w:u w:val="single"/>
        </w:rPr>
        <w:t>Successor Product</w:t>
      </w:r>
      <w:r>
        <w:rPr>
          <w:rFonts w:ascii="Times New Roman;Times;Serif" w:hAnsi="Times New Roman;Times;Serif"/>
          <w:b w:val="false"/>
          <w:i w:val="false"/>
          <w:caps w:val="false"/>
          <w:smallCaps w:val="false"/>
          <w:sz w:val="20"/>
        </w:rPr>
        <w:t>” means any medical device system or product (including any improved, enhanced, modified, next-generation or redesigned version thereof), allowing for navigation of interventional devices, developed, manufactured or commercialized by the Company, Purchaser or any of their respective Affiliates, substantially based upon material part of (i) [***] of the R-Two Product existing on the Closing Date, or (ii) any patent or filed for patent Intellectual Property Right existing on the Closing Date that are embodied in, or were developed in connection with the R-Two Product or (iii) any material technology, know-how or trade secrets derived from or constituting an evolution of the technology underlying the R-Two Product and existing on the Closing Date, regardless of (A) [***], (B) the brand name or trade name under which such product is marketed, or (C) whether such product has been modified, upgraded or otherwise altered as compared to the R-Two Product and/or incorporates additional features, functionalities or components not present in the R-Two Product.</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(192) “</w:t>
      </w:r>
      <w:r>
        <w:rPr>
          <w:rFonts w:ascii="Times New Roman;Times;Serif" w:hAnsi="Times New Roman;Times;Serif"/>
          <w:b w:val="false"/>
          <w:i w:val="false"/>
          <w:caps w:val="false"/>
          <w:smallCaps w:val="false"/>
          <w:sz w:val="20"/>
          <w:u w:val="single"/>
        </w:rPr>
        <w:t>Target Working Capital</w:t>
      </w:r>
      <w:r>
        <w:rPr>
          <w:rFonts w:ascii="Times New Roman;Times;Serif" w:hAnsi="Times New Roman;Times;Serif"/>
          <w:b w:val="false"/>
          <w:i w:val="false"/>
          <w:caps w:val="false"/>
          <w:smallCaps w:val="false"/>
          <w:sz w:val="20"/>
        </w:rPr>
        <w:t>” means €0 with Working Capital calculated as defined in Appendix 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(193) “</w:t>
      </w:r>
      <w:r>
        <w:rPr>
          <w:rFonts w:ascii="Times New Roman;Times;Serif" w:hAnsi="Times New Roman;Times;Serif"/>
          <w:b w:val="false"/>
          <w:i w:val="false"/>
          <w:caps w:val="false"/>
          <w:smallCaps w:val="false"/>
          <w:sz w:val="20"/>
          <w:u w:val="single"/>
        </w:rPr>
        <w:t>Tax</w:t>
      </w:r>
      <w:r>
        <w:rPr>
          <w:rFonts w:ascii="Times New Roman;Times;Serif" w:hAnsi="Times New Roman;Times;Serif"/>
          <w:b w:val="false"/>
          <w:i w:val="false"/>
          <w:caps w:val="false"/>
          <w:smallCaps w:val="false"/>
          <w:sz w:val="20"/>
        </w:rPr>
        <w:t>” or “</w:t>
      </w:r>
      <w:r>
        <w:rPr>
          <w:rFonts w:ascii="Times New Roman;Times;Serif" w:hAnsi="Times New Roman;Times;Serif"/>
          <w:b w:val="false"/>
          <w:i w:val="false"/>
          <w:caps w:val="false"/>
          <w:smallCaps w:val="false"/>
          <w:sz w:val="20"/>
          <w:u w:val="single"/>
        </w:rPr>
        <w:t>Taxes</w:t>
      </w:r>
      <w:r>
        <w:rPr>
          <w:rFonts w:ascii="Times New Roman;Times;Serif" w:hAnsi="Times New Roman;Times;Serif"/>
          <w:b w:val="false"/>
          <w:i w:val="false"/>
          <w:caps w:val="false"/>
          <w:smallCaps w:val="false"/>
          <w:sz w:val="20"/>
        </w:rPr>
        <w:t>” means (i) any tax (including any income tax, franchise tax, capital gains tax, gross receipts tax, value—added tax, registration tax, surtax, excise tax, escheat, ad valorem tax, transfer tax, stamp tax, sales tax, use tax, property tax, business tax, windfall profits tax, environmental tax (including taxes under section 59A of the Code), withholding tax or payroll tax), levy, assessment, tariff, duty (including any customs duty), deficiency or fee, and any related charge or amount (including any fine, penalty, interest or addition to Tax), imposed, assessed or collected by or under the authority of any Governmental Entity, whether disputed or not (ii) any liability for the payment of any amounts of the type described in clause (i) of this sentence as a result of being a member of an affiliated, consolidated, combined, unitary, aggregate or similar group (including any arrangement for group or consortium relief or similar arrangement) for any taxable period, and (iii) any liability for the payment of any amounts of the type described in clause (i) or (ii) of this sentence as a result of being a transferee of or successor to any Person, as a result of any express or implied obligation to assume such taxes or to indemnify any other Person, or by Contract, including any liability for taxes of a predecessor or transferor or otherwise by operation of applicable Legal Requirements.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(194) “</w:t>
      </w:r>
      <w:r>
        <w:rPr>
          <w:rFonts w:ascii="Times New Roman;Times;Serif" w:hAnsi="Times New Roman;Times;Serif"/>
          <w:b w:val="false"/>
          <w:i w:val="false"/>
          <w:caps w:val="false"/>
          <w:smallCaps w:val="false"/>
          <w:sz w:val="20"/>
          <w:u w:val="single"/>
        </w:rPr>
        <w:t>Tax Claim</w:t>
      </w:r>
      <w:r>
        <w:rPr>
          <w:rFonts w:ascii="Times New Roman;Times;Serif" w:hAnsi="Times New Roman;Times;Serif"/>
          <w:b w:val="false"/>
          <w:i w:val="false"/>
          <w:caps w:val="false"/>
          <w:smallCaps w:val="false"/>
          <w:sz w:val="20"/>
        </w:rPr>
        <w:t>” has the meaning set forth in Section 6.5(c).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(195) “</w:t>
      </w:r>
      <w:r>
        <w:rPr>
          <w:rFonts w:ascii="Times New Roman;Times;Serif" w:hAnsi="Times New Roman;Times;Serif"/>
          <w:b w:val="false"/>
          <w:i w:val="false"/>
          <w:caps w:val="false"/>
          <w:smallCaps w:val="false"/>
          <w:sz w:val="20"/>
          <w:u w:val="single"/>
        </w:rPr>
        <w:t>Tax Return</w:t>
      </w:r>
      <w:r>
        <w:rPr>
          <w:rFonts w:ascii="Times New Roman;Times;Serif" w:hAnsi="Times New Roman;Times;Serif"/>
          <w:b w:val="false"/>
          <w:i w:val="false"/>
          <w:caps w:val="false"/>
          <w:smallCaps w:val="false"/>
          <w:sz w:val="20"/>
        </w:rPr>
        <w:t>” means any report, return, statement, claim for refund, election, declaration or other information with respect to any Tax required to be filed or actually filed with a Governmental Entity, including any schedule or attachment thereto, and including any amendment thereof, and where relevant, any statement required by a Governmental Entity be provided to a third party with respect to Taxes.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(196) “</w:t>
      </w:r>
      <w:r>
        <w:rPr>
          <w:rFonts w:ascii="Times New Roman;Times;Serif" w:hAnsi="Times New Roman;Times;Serif"/>
          <w:b w:val="false"/>
          <w:i w:val="false"/>
          <w:caps w:val="false"/>
          <w:smallCaps w:val="false"/>
          <w:sz w:val="20"/>
          <w:u w:val="single"/>
        </w:rPr>
        <w:t>Tax Warranties</w:t>
      </w:r>
      <w:r>
        <w:rPr>
          <w:rFonts w:ascii="Times New Roman;Times;Serif" w:hAnsi="Times New Roman;Times;Serif"/>
          <w:b w:val="false"/>
          <w:i w:val="false"/>
          <w:caps w:val="false"/>
          <w:smallCaps w:val="false"/>
          <w:sz w:val="20"/>
        </w:rPr>
        <w:t>” means the representations and warranties set forth in Section 3.16;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(197) “</w:t>
      </w:r>
      <w:r>
        <w:rPr>
          <w:rFonts w:ascii="Times New Roman;Times;Serif" w:hAnsi="Times New Roman;Times;Serif"/>
          <w:b w:val="false"/>
          <w:i w:val="false"/>
          <w:caps w:val="false"/>
          <w:smallCaps w:val="false"/>
          <w:sz w:val="20"/>
          <w:u w:val="single"/>
        </w:rPr>
        <w:t>Taxing Authority</w:t>
      </w:r>
      <w:r>
        <w:rPr>
          <w:rFonts w:ascii="Times New Roman;Times;Serif" w:hAnsi="Times New Roman;Times;Serif"/>
          <w:b w:val="false"/>
          <w:i w:val="false"/>
          <w:caps w:val="false"/>
          <w:smallCaps w:val="false"/>
          <w:sz w:val="20"/>
        </w:rPr>
        <w:t>” means any Governmental Entity responsible for the assessment, collection or administration of any Tax.</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(198) “</w:t>
      </w:r>
      <w:r>
        <w:rPr>
          <w:rFonts w:ascii="Times New Roman;Times;Serif" w:hAnsi="Times New Roman;Times;Serif"/>
          <w:b w:val="false"/>
          <w:i w:val="false"/>
          <w:caps w:val="false"/>
          <w:smallCaps w:val="false"/>
          <w:sz w:val="20"/>
          <w:u w:val="single"/>
        </w:rPr>
        <w:t>Third Party Action</w:t>
      </w:r>
      <w:r>
        <w:rPr>
          <w:rFonts w:ascii="Times New Roman;Times;Serif" w:hAnsi="Times New Roman;Times;Serif"/>
          <w:b w:val="false"/>
          <w:i w:val="false"/>
          <w:caps w:val="false"/>
          <w:smallCaps w:val="false"/>
          <w:sz w:val="20"/>
        </w:rPr>
        <w:t>” has the meaning set forth in Section 8.7(b)(iii).</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(199) “</w:t>
      </w:r>
      <w:r>
        <w:rPr>
          <w:rFonts w:ascii="Times New Roman;Times;Serif" w:hAnsi="Times New Roman;Times;Serif"/>
          <w:b w:val="false"/>
          <w:i w:val="false"/>
          <w:caps w:val="false"/>
          <w:smallCaps w:val="false"/>
          <w:sz w:val="20"/>
          <w:u w:val="single"/>
        </w:rPr>
        <w:t>Transactions</w:t>
      </w:r>
      <w:r>
        <w:rPr>
          <w:rFonts w:ascii="Times New Roman;Times;Serif" w:hAnsi="Times New Roman;Times;Serif"/>
          <w:b w:val="false"/>
          <w:i w:val="false"/>
          <w:caps w:val="false"/>
          <w:smallCaps w:val="false"/>
          <w:sz w:val="20"/>
        </w:rPr>
        <w:t>” means the transactions provided for or contemplated by this Agreement and the Related Agreements, including the Equity Pre-Closing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(200) “</w:t>
      </w:r>
      <w:r>
        <w:rPr>
          <w:rFonts w:ascii="Times New Roman;Times;Serif" w:hAnsi="Times New Roman;Times;Serif"/>
          <w:b w:val="false"/>
          <w:i w:val="false"/>
          <w:caps w:val="false"/>
          <w:smallCaps w:val="false"/>
          <w:sz w:val="20"/>
          <w:u w:val="single"/>
        </w:rPr>
        <w:t>Transferred Securities</w:t>
      </w:r>
      <w:r>
        <w:rPr>
          <w:rFonts w:ascii="Times New Roman;Times;Serif" w:hAnsi="Times New Roman;Times;Serif"/>
          <w:b w:val="false"/>
          <w:i w:val="false"/>
          <w:caps w:val="false"/>
          <w:smallCaps w:val="false"/>
          <w:sz w:val="20"/>
        </w:rPr>
        <w:t>” has the meaning set forth in Section 10.3(c).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(201) “</w:t>
      </w:r>
      <w:r>
        <w:rPr>
          <w:rFonts w:ascii="Times New Roman;Times;Serif" w:hAnsi="Times New Roman;Times;Serif"/>
          <w:b w:val="false"/>
          <w:i w:val="false"/>
          <w:caps w:val="false"/>
          <w:smallCaps w:val="false"/>
          <w:sz w:val="20"/>
          <w:u w:val="single"/>
        </w:rPr>
        <w:t>Transaction Documents</w:t>
      </w:r>
      <w:r>
        <w:rPr>
          <w:rFonts w:ascii="Times New Roman;Times;Serif" w:hAnsi="Times New Roman;Times;Serif"/>
          <w:b w:val="false"/>
          <w:i w:val="false"/>
          <w:caps w:val="false"/>
          <w:smallCaps w:val="false"/>
          <w:sz w:val="20"/>
        </w:rPr>
        <w:t>” means this Agreement and the Related Agreements, together with such other agreements, certificates, and documents, and any exhibits, annexes, schedules, or other attachments thereto, delivered or caused to be delivered incident to or in connection with the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 “</w:t>
      </w:r>
      <w:r>
        <w:rPr>
          <w:rFonts w:ascii="Times New Roman;Times;Serif" w:hAnsi="Times New Roman;Times;Serif"/>
          <w:b w:val="false"/>
          <w:i w:val="false"/>
          <w:caps w:val="false"/>
          <w:smallCaps w:val="false"/>
          <w:sz w:val="20"/>
          <w:u w:val="single"/>
        </w:rPr>
        <w:t>Transaction Expenses</w:t>
      </w:r>
      <w:r>
        <w:rPr>
          <w:rFonts w:ascii="Times New Roman;Times;Serif" w:hAnsi="Times New Roman;Times;Serif"/>
          <w:b w:val="false"/>
          <w:i w:val="false"/>
          <w:caps w:val="false"/>
          <w:smallCaps w:val="false"/>
          <w:sz w:val="20"/>
        </w:rPr>
        <w:t>” means, with respect to Purchaser or Company, as applicable, all fees, costs, commissions and expenses incurred by, paid or payable by such Person in connection with the Transactions, whether incurred in connection with this Agreement or otherwise, including, without limitation, financial advisory fees, legal fees and expenses, broker and finder fees, fees and expenses of accountants, and bank fees.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(203) “</w:t>
      </w:r>
      <w:r>
        <w:rPr>
          <w:rFonts w:ascii="Times New Roman;Times;Serif" w:hAnsi="Times New Roman;Times;Serif"/>
          <w:b w:val="false"/>
          <w:i w:val="false"/>
          <w:caps w:val="false"/>
          <w:smallCaps w:val="false"/>
          <w:sz w:val="20"/>
          <w:u w:val="single"/>
        </w:rPr>
        <w:t>Upfront Stock Consideration</w:t>
      </w:r>
      <w:r>
        <w:rPr>
          <w:rFonts w:ascii="Times New Roman;Times;Serif" w:hAnsi="Times New Roman;Times;Serif"/>
          <w:b w:val="false"/>
          <w:i w:val="false"/>
          <w:caps w:val="false"/>
          <w:smallCaps w:val="false"/>
          <w:sz w:val="20"/>
        </w:rPr>
        <w:t>” has the meaning set forth in Section 1.3.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(204) “</w:t>
      </w:r>
      <w:r>
        <w:rPr>
          <w:rFonts w:ascii="Times New Roman;Times;Serif" w:hAnsi="Times New Roman;Times;Serif"/>
          <w:b w:val="false"/>
          <w:i w:val="false"/>
          <w:caps w:val="false"/>
          <w:smallCaps w:val="false"/>
          <w:sz w:val="20"/>
          <w:u w:val="single"/>
        </w:rPr>
        <w:t>Updated Company Disclosure Letter</w:t>
      </w:r>
      <w:r>
        <w:rPr>
          <w:rFonts w:ascii="Times New Roman;Times;Serif" w:hAnsi="Times New Roman;Times;Serif"/>
          <w:b w:val="false"/>
          <w:i w:val="false"/>
          <w:caps w:val="false"/>
          <w:smallCaps w:val="false"/>
          <w:sz w:val="20"/>
        </w:rPr>
        <w:t>” has the meaning set forth in Section 2.2(b)(viii).</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(205) “</w:t>
      </w:r>
      <w:r>
        <w:rPr>
          <w:rFonts w:ascii="Times New Roman;Times;Serif" w:hAnsi="Times New Roman;Times;Serif"/>
          <w:b w:val="false"/>
          <w:i w:val="false"/>
          <w:caps w:val="false"/>
          <w:smallCaps w:val="false"/>
          <w:sz w:val="20"/>
          <w:u w:val="single"/>
        </w:rPr>
        <w:t>VAT</w:t>
      </w:r>
      <w:r>
        <w:rPr>
          <w:rFonts w:ascii="Times New Roman;Times;Serif" w:hAnsi="Times New Roman;Times;Serif"/>
          <w:b w:val="false"/>
          <w:i w:val="false"/>
          <w:caps w:val="false"/>
          <w:smallCaps w:val="false"/>
          <w:sz w:val="20"/>
        </w:rPr>
        <w:t>” means (a) any tax imposed in compliance with the Council Directive of 28 November 2006 on the common system of value added tax (EC Directive 2006/112), and any other tax of a similar nature, whether imposed in a member state of the European Union in substitution for, or levied in addition to, such tax referred to under (a) above, or imposed elsewhere.</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(206) “</w:t>
      </w:r>
      <w:r>
        <w:rPr>
          <w:rFonts w:ascii="Times New Roman;Times;Serif" w:hAnsi="Times New Roman;Times;Serif"/>
          <w:b w:val="false"/>
          <w:i w:val="false"/>
          <w:caps w:val="false"/>
          <w:smallCaps w:val="false"/>
          <w:sz w:val="20"/>
          <w:u w:val="single"/>
        </w:rPr>
        <w:t>W&amp;I Insurer</w:t>
      </w:r>
      <w:r>
        <w:rPr>
          <w:rFonts w:ascii="Times New Roman;Times;Serif" w:hAnsi="Times New Roman;Times;Serif"/>
          <w:b w:val="false"/>
          <w:i w:val="false"/>
          <w:caps w:val="false"/>
          <w:smallCaps w:val="false"/>
          <w:sz w:val="20"/>
        </w:rPr>
        <w:t>” shall mean Liberty Mutual Insurance Europe SE and Antares Managing Agency Limited, represented by DUAL Corporate Risks Limited.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(207) “</w:t>
      </w:r>
      <w:r>
        <w:rPr>
          <w:rFonts w:ascii="Times New Roman;Times;Serif" w:hAnsi="Times New Roman;Times;Serif"/>
          <w:b w:val="false"/>
          <w:i w:val="false"/>
          <w:caps w:val="false"/>
          <w:smallCaps w:val="false"/>
          <w:sz w:val="20"/>
          <w:u w:val="single"/>
        </w:rPr>
        <w:t>W&amp;I Policy</w:t>
      </w:r>
      <w:r>
        <w:rPr>
          <w:rFonts w:ascii="Times New Roman;Times;Serif" w:hAnsi="Times New Roman;Times;Serif"/>
          <w:b w:val="false"/>
          <w:i w:val="false"/>
          <w:caps w:val="false"/>
          <w:smallCaps w:val="false"/>
          <w:sz w:val="20"/>
        </w:rPr>
        <w:t>” shall mean the warranty and indemnity liability insurance policy subscribed by the Purchaser for its own account.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Working Capital</w:t>
      </w:r>
      <w:r>
        <w:rPr>
          <w:rFonts w:ascii="Times New Roman;Times;Serif" w:hAnsi="Times New Roman;Times;Serif"/>
          <w:b w:val="false"/>
          <w:i w:val="false"/>
          <w:caps w:val="false"/>
          <w:smallCaps w:val="false"/>
          <w:sz w:val="20"/>
        </w:rPr>
        <w:t>” means with respect to the Company, at the time of determination, the amount equal to its Current Assets minus its Current Liabilities, both as defined below and calculated in accordance with GAAP applied on a basis consistent with the preparation of the Company’s historical financial statements and without duplication. For the avoidance of doubt, Working Capital shall not include any item of Indebtedness or any Transaction Expenses, and no item shall be counted more than once in the calculation of Working Capital. Working Capital shall be calculated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Current Assets equal the sum 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Cash in the Company’s bank and investment accounts increased by any interest accrued on such amount and reduced by any bank fees accrued but not yet charged, and the cash equivalents of short-term, liquid marketable securities or investments, that are readily available (i.e. within 90 days from Closing); plus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Accounts Receivable representing trade receivables from ordinary course of business excluding amounts greater than 90 days past due date or 180 days past invoice date, and including the </w:t>
      </w:r>
      <w:r>
        <w:rPr>
          <w:rFonts w:ascii="Times New Roman;Times;Serif" w:hAnsi="Times New Roman;Times;Serif"/>
          <w:b w:val="false"/>
          <w:i/>
          <w:caps w:val="false"/>
          <w:smallCaps w:val="false"/>
          <w:sz w:val="20"/>
        </w:rPr>
        <w:t>crédit d’impôt recherche</w:t>
      </w:r>
      <w:r>
        <w:rPr>
          <w:rFonts w:ascii="Times New Roman;Times;Serif" w:hAnsi="Times New Roman;Times;Serif"/>
          <w:b w:val="false"/>
          <w:i w:val="false"/>
          <w:caps w:val="false"/>
          <w:smallCaps w:val="false"/>
          <w:sz w:val="20"/>
        </w:rPr>
        <w:t xml:space="preserve"> (CIR) for the fiscal year 2025 to the extent accrued or receivable as of the Closing Date providing if such receivable is impaired or subsequently required to be repaid, then amount of the impairment or repayment would offset future earnout payments; plus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Inventory including raw materials, components, sub-assemblies and finished products used in the current production of R1 valued at the lower of original material cost or replacement value and excluding the value of any obsolete or excess material, by which excess is defined as any R1 inventory that cannot be sold within a 24 month period following the Closing Date; plus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Prepaid expenses and other current assets incurred in the ordinary course of business, , in each case to the extent recoverable or usable within twelve (12) months following the Closing Date and in accordance with GAAP;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Current Liabilities equal the sum of the following liabilities of the Company as of the Closing Date, in each case to the extent incurred in the ordinary course of business and in accordance with GAAP, and excluding, for the avoidance of doubt, (x) any Indebtedness (which shall be taken into account solely in the calculation of Closing Date Indebtedness), and (y) any Transaction Expenses: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80"/>
        <w:gridCol w:w="1005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0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Trade payables incurred in the ordinary course of business; plus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1005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0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revenue or prepaid revenue arising in the ordinary course of business for which the services or products will be delivered within twenty-four months following Closing; plus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1005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0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Employment-related liabilities, including accrued salaries, accrued payroll taxes and accrued paid time off (congés payés), in each case accrued in the ordinary course of business, that will be paid in cash within twelve months following the Closing; plus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1005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0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accrued liabilities (including Tax liabilities) incurred in the ordinary course of business which will be paid in cash within twelve months following Closing.</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 illustrative example of the calculation of Working Capital as of the date hereof is set forth in </w:t>
      </w:r>
      <w:r>
        <w:rPr>
          <w:rFonts w:ascii="Times New Roman;Times;Serif" w:hAnsi="Times New Roman;Times;Serif"/>
          <w:b w:val="false"/>
          <w:i w:val="false"/>
          <w:caps w:val="false"/>
          <w:smallCaps w:val="false"/>
          <w:sz w:val="20"/>
          <w:u w:val="single"/>
        </w:rPr>
        <w:t>Appendix C</w:t>
      </w:r>
      <w:r>
        <w:rPr>
          <w:rFonts w:ascii="Times New Roman;Times;Serif" w:hAnsi="Times New Roman;Times;Serif"/>
          <w:b w:val="false"/>
          <w:i w:val="false"/>
          <w:caps w:val="false"/>
          <w:smallCaps w:val="false"/>
          <w:sz w:val="20"/>
        </w:rPr>
        <w:t>, which is provided for reference purposes only (it being noted that any figures appearing therein are not binding upon the Parties).</w:t>
      </w:r>
    </w:p>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bookmarkStart w:id="16" w:name="ex2-2.htm"/>
      <w:bookmarkStart w:id="17" w:name="ksex22"/>
      <w:bookmarkEnd w:id="16"/>
      <w:bookmarkEnd w:id="17"/>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2.2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CONFIDENTIAL INFORMATION CONTAINED IN THIS DOCUMENT, MARKED BY “[***]”, HAS BEEN OMITTED BECAUSE IT IS BOTH (I) NOT MATERIAL AND (II) IS THE TYPE THAT THE REGISTRANT TREATS AS PRIVATE OR CONFIDENTIAL.</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JOINDER AGREEMENT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Joinder Agreement (the “</w:t>
      </w:r>
      <w:r>
        <w:rPr>
          <w:rFonts w:ascii="Times New Roman;Times;Serif" w:hAnsi="Times New Roman;Times;Serif"/>
          <w:b/>
          <w:i w:val="false"/>
          <w:caps w:val="false"/>
          <w:smallCaps w:val="false"/>
          <w:sz w:val="20"/>
        </w:rPr>
        <w:t>Joinder Agreement</w:t>
      </w:r>
      <w:r>
        <w:rPr>
          <w:rFonts w:ascii="Times New Roman;Times;Serif" w:hAnsi="Times New Roman;Times;Serif"/>
          <w:b w:val="false"/>
          <w:i w:val="false"/>
          <w:caps w:val="false"/>
          <w:smallCaps w:val="false"/>
          <w:sz w:val="20"/>
        </w:rPr>
        <w:t>”) dated 7 July 2026 is made by and among:</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3"/>
        <w:gridCol w:w="9982"/>
      </w:tblGrid>
      <w:tr>
        <w:trPr/>
        <w:tc>
          <w:tcPr>
            <w:tcW w:w="223"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w:t>
            </w:r>
          </w:p>
        </w:tc>
        <w:tc>
          <w:tcPr>
            <w:tcW w:w="998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European Investment Bank</w:t>
            </w:r>
            <w:r>
              <w:rPr>
                <w:rFonts w:ascii="Times New Roman;Times;Serif" w:hAnsi="Times New Roman;Times;Serif"/>
                <w:b w:val="false"/>
                <w:i w:val="false"/>
                <w:caps w:val="false"/>
                <w:smallCaps w:val="false"/>
                <w:sz w:val="20"/>
              </w:rPr>
              <w:t>, created pursuant to the Treaty on the Functioning of the European Union, whose registered office is located 100 boulevard Konrad Adenauer, L-2950 Luxembourg, Grand-Duchy of Luxembourg (the “</w:t>
            </w:r>
            <w:r>
              <w:rPr>
                <w:rFonts w:ascii="Times New Roman;Times;Serif" w:hAnsi="Times New Roman;Times;Serif"/>
                <w:b/>
                <w:i w:val="false"/>
                <w:caps w:val="false"/>
                <w:smallCaps w:val="false"/>
                <w:sz w:val="20"/>
              </w:rPr>
              <w:t>EIB</w:t>
            </w:r>
            <w:r>
              <w:rPr>
                <w:rFonts w:ascii="Times New Roman;Times;Serif" w:hAnsi="Times New Roman;Times;Serif"/>
                <w:b w:val="false"/>
                <w:i w:val="false"/>
                <w:caps w:val="false"/>
                <w:smallCaps w:val="false"/>
                <w:sz w:val="20"/>
              </w:rPr>
              <w:t>”);</w:t>
            </w:r>
          </w:p>
        </w:tc>
      </w:tr>
      <w:tr>
        <w:trPr/>
        <w:tc>
          <w:tcPr>
            <w:tcW w:w="223" w:type="dxa"/>
            <w:tcBorders/>
            <w:vAlign w:val="center"/>
          </w:tcPr>
          <w:p>
            <w:pPr>
              <w:pStyle w:val="TableContents"/>
              <w:bidi w:val="0"/>
              <w:spacing w:before="0" w:after="283"/>
              <w:jc w:val="left"/>
              <w:rPr>
                <w:caps w:val="false"/>
                <w:smallCaps w:val="false"/>
              </w:rPr>
            </w:pPr>
            <w:r>
              <w:rPr>
                <w:caps w:val="false"/>
                <w:smallCaps w:val="false"/>
              </w:rPr>
              <w:t> </w:t>
            </w:r>
          </w:p>
        </w:tc>
        <w:tc>
          <w:tcPr>
            <w:tcW w:w="998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23"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w:t>
            </w:r>
          </w:p>
        </w:tc>
        <w:tc>
          <w:tcPr>
            <w:tcW w:w="998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Stereotaxis, Inc.</w:t>
            </w:r>
            <w:r>
              <w:rPr>
                <w:rFonts w:ascii="Times New Roman;Times;Serif" w:hAnsi="Times New Roman;Times;Serif"/>
                <w:b w:val="false"/>
                <w:i w:val="false"/>
                <w:caps w:val="false"/>
                <w:smallCaps w:val="false"/>
                <w:sz w:val="20"/>
              </w:rPr>
              <w:t>, a Delaware corporation (the “</w:t>
            </w:r>
            <w:r>
              <w:rPr>
                <w:rFonts w:ascii="Times New Roman;Times;Serif" w:hAnsi="Times New Roman;Times;Serif"/>
                <w:b/>
                <w:i w:val="false"/>
                <w:caps w:val="false"/>
                <w:smallCaps w:val="false"/>
                <w:sz w:val="20"/>
              </w:rPr>
              <w:t>Purchaser</w:t>
            </w:r>
            <w:r>
              <w:rPr>
                <w:rFonts w:ascii="Times New Roman;Times;Serif" w:hAnsi="Times New Roman;Times;Serif"/>
                <w:b w:val="false"/>
                <w:i w:val="false"/>
                <w:caps w:val="false"/>
                <w:smallCaps w:val="false"/>
                <w:sz w:val="20"/>
              </w:rPr>
              <w:t>”);</w:t>
            </w:r>
          </w:p>
        </w:tc>
      </w:tr>
      <w:tr>
        <w:trPr/>
        <w:tc>
          <w:tcPr>
            <w:tcW w:w="223" w:type="dxa"/>
            <w:tcBorders/>
            <w:vAlign w:val="center"/>
          </w:tcPr>
          <w:p>
            <w:pPr>
              <w:pStyle w:val="TableContents"/>
              <w:bidi w:val="0"/>
              <w:spacing w:before="0" w:after="283"/>
              <w:jc w:val="left"/>
              <w:rPr>
                <w:caps w:val="false"/>
                <w:smallCaps w:val="false"/>
              </w:rPr>
            </w:pPr>
            <w:r>
              <w:rPr>
                <w:caps w:val="false"/>
                <w:smallCaps w:val="false"/>
              </w:rPr>
              <w:t> </w:t>
            </w:r>
          </w:p>
        </w:tc>
        <w:tc>
          <w:tcPr>
            <w:tcW w:w="998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23"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w:t>
            </w:r>
          </w:p>
        </w:tc>
        <w:tc>
          <w:tcPr>
            <w:tcW w:w="998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Philippe Bencteux</w:t>
            </w:r>
            <w:r>
              <w:rPr>
                <w:rFonts w:ascii="Times New Roman;Times;Serif" w:hAnsi="Times New Roman;Times;Serif"/>
                <w:b w:val="false"/>
                <w:i w:val="false"/>
                <w:caps w:val="false"/>
                <w:smallCaps w:val="false"/>
                <w:sz w:val="20"/>
              </w:rPr>
              <w:t>, a French citizen, born on [***], residing at [***]; and</w:t>
            </w:r>
          </w:p>
        </w:tc>
      </w:tr>
      <w:tr>
        <w:trPr/>
        <w:tc>
          <w:tcPr>
            <w:tcW w:w="223" w:type="dxa"/>
            <w:tcBorders/>
            <w:vAlign w:val="center"/>
          </w:tcPr>
          <w:p>
            <w:pPr>
              <w:pStyle w:val="TableContents"/>
              <w:bidi w:val="0"/>
              <w:spacing w:before="0" w:after="283"/>
              <w:jc w:val="left"/>
              <w:rPr>
                <w:caps w:val="false"/>
                <w:smallCaps w:val="false"/>
              </w:rPr>
            </w:pPr>
            <w:r>
              <w:rPr>
                <w:caps w:val="false"/>
                <w:smallCaps w:val="false"/>
              </w:rPr>
              <w:t> </w:t>
            </w:r>
          </w:p>
        </w:tc>
        <w:tc>
          <w:tcPr>
            <w:tcW w:w="998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23"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w:t>
            </w:r>
          </w:p>
        </w:tc>
        <w:tc>
          <w:tcPr>
            <w:tcW w:w="998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Supernova Invest</w:t>
            </w:r>
            <w:r>
              <w:rPr>
                <w:rFonts w:ascii="Times New Roman;Times;Serif" w:hAnsi="Times New Roman;Times;Serif"/>
                <w:b w:val="false"/>
                <w:i w:val="false"/>
                <w:caps w:val="false"/>
                <w:smallCaps w:val="false"/>
                <w:sz w:val="20"/>
              </w:rPr>
              <w:t xml:space="preserve">, a French </w:t>
            </w:r>
            <w:r>
              <w:rPr>
                <w:rFonts w:ascii="Times New Roman;Times;Serif" w:hAnsi="Times New Roman;Times;Serif"/>
                <w:b w:val="false"/>
                <w:i/>
                <w:caps w:val="false"/>
                <w:smallCaps w:val="false"/>
                <w:sz w:val="20"/>
              </w:rPr>
              <w:t>société par actions simplifiée having</w:t>
            </w:r>
            <w:r>
              <w:rPr>
                <w:rFonts w:ascii="Times New Roman;Times;Serif" w:hAnsi="Times New Roman;Times;Serif"/>
                <w:b w:val="false"/>
                <w:i w:val="false"/>
                <w:caps w:val="false"/>
                <w:smallCaps w:val="false"/>
                <w:sz w:val="20"/>
              </w:rPr>
              <w:t xml:space="preserve"> its registered office located at 97, rue Saint-Lazare, 75009, Paris, registered with the Trade and Companies Registy of Paris under number 828 628 586 (“</w:t>
            </w:r>
            <w:r>
              <w:rPr>
                <w:rFonts w:ascii="Times New Roman;Times;Serif" w:hAnsi="Times New Roman;Times;Serif"/>
                <w:b/>
                <w:i w:val="false"/>
                <w:caps w:val="false"/>
                <w:smallCaps w:val="false"/>
                <w:sz w:val="20"/>
              </w:rPr>
              <w:t>Supernova</w:t>
            </w:r>
            <w:r>
              <w:rPr>
                <w:rFonts w:ascii="Times New Roman;Times;Serif" w:hAnsi="Times New Roman;Times;Serif"/>
                <w:b w:val="false"/>
                <w:i w:val="false"/>
                <w:caps w:val="false"/>
                <w:smallCaps w:val="false"/>
                <w:sz w:val="20"/>
              </w:rPr>
              <w:t>”, and with Philippe Bencteux, the “</w:t>
            </w:r>
            <w:r>
              <w:rPr>
                <w:rFonts w:ascii="Times New Roman;Times;Serif" w:hAnsi="Times New Roman;Times;Serif"/>
                <w:b/>
                <w:i w:val="false"/>
                <w:caps w:val="false"/>
                <w:smallCaps w:val="false"/>
                <w:sz w:val="20"/>
              </w:rPr>
              <w:t>Sellers Representatives</w:t>
            </w:r>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Reference is made to the share sale agreement relating to Robocath SAS (515 353 316 RCS Rouen)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dated April 14 2026 (the “</w:t>
      </w:r>
      <w:r>
        <w:rPr>
          <w:rFonts w:ascii="Times New Roman;Times;Serif" w:hAnsi="Times New Roman;Times;Serif"/>
          <w:b/>
          <w:i w:val="false"/>
          <w:caps w:val="false"/>
          <w:smallCaps w:val="false"/>
          <w:sz w:val="20"/>
        </w:rPr>
        <w:t>Share Sale Agreement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Capitalized terms used herein which are not defined shall have the meanings ascribed to them in the Share Sale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the EIB has reviewed the provisions of the Share Sale Agreement and desires to (a) sell, assign, transfer, convey, and deliver its Sold Securities to the Purchaser, and the Purchaser desires to purchase, acquire, and accept from the EIB, all right, title and interest in and to its Sold Securities, free and clear of all Encumbrances, in consideration of the payment of the applicable portion of the Purchase Price in Purchaser Common Stock and/or Purchaser Warrants, subject to the terms and conditions of the Share Sale Agreement and this Joinder Agreement, and (b) become a Seller thereunder;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the EIB agrees to become a party to the Share Sale Agreement in accordance with the terms and conditions set forth 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consideration of the mutual covenants contained herein and other good and valuable consideration, the receipt and sufficiency of which are hereby acknowledged, the parties to this Joinder Agreement hereby agree as follows: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w:t>
            </w:r>
          </w:p>
        </w:tc>
        <w:tc>
          <w:tcPr>
            <w:tcW w:w="1006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Agreement to be Bound</w:t>
            </w:r>
          </w:p>
        </w:tc>
      </w:tr>
      <w:tr>
        <w:trPr/>
        <w:tc>
          <w:tcPr>
            <w:tcW w:w="140" w:type="dxa"/>
            <w:tcBorders/>
            <w:vAlign w:val="center"/>
          </w:tcPr>
          <w:p>
            <w:pPr>
              <w:pStyle w:val="TableContents"/>
              <w:bidi w:val="0"/>
              <w:spacing w:before="0" w:after="283"/>
              <w:jc w:val="left"/>
              <w:rPr>
                <w:caps w:val="false"/>
                <w:smallCaps w:val="false"/>
              </w:rPr>
            </w:pPr>
            <w:r>
              <w:rPr>
                <w:caps w:val="false"/>
                <w:smallCaps w:val="false"/>
              </w:rPr>
              <w:t> </w:t>
            </w:r>
          </w:p>
        </w:tc>
        <w:tc>
          <w:tcPr>
            <w:tcW w:w="10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40" w:type="dxa"/>
            <w:tcBorders/>
            <w:vAlign w:val="center"/>
          </w:tcPr>
          <w:p>
            <w:pPr>
              <w:pStyle w:val="TableContents"/>
              <w:bidi w:val="0"/>
              <w:spacing w:before="0" w:after="283"/>
              <w:jc w:val="left"/>
              <w:rPr>
                <w:caps w:val="false"/>
                <w:smallCaps w:val="false"/>
              </w:rPr>
            </w:pPr>
            <w:r>
              <w:rPr>
                <w:caps w:val="false"/>
                <w:smallCaps w:val="false"/>
              </w:rPr>
              <w:t> </w:t>
            </w:r>
          </w:p>
        </w:tc>
        <w:tc>
          <w:tcPr>
            <w:tcW w:w="10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 other provision to the contrary in the Share Sale Agreement, on the date hereof, the EIB shall become a party to the Share Sale Agreement as a Seller and, as a result, shall benefit from all the rights and be subject to all the obligations of a Seller as if it had been an original party to the Share Sale Agreement as a Seller subject, however, to the terms and conditions set forth in this Joinder Agreement (the “</w:t>
            </w:r>
            <w:r>
              <w:rPr>
                <w:rFonts w:ascii="Times New Roman;Times;Serif" w:hAnsi="Times New Roman;Times;Serif"/>
                <w:b/>
                <w:i w:val="false"/>
                <w:caps w:val="false"/>
                <w:smallCaps w:val="false"/>
                <w:sz w:val="20"/>
              </w:rPr>
              <w:t>Joinder</w:t>
            </w:r>
            <w:r>
              <w:rPr>
                <w:rFonts w:ascii="Times New Roman;Times;Serif" w:hAnsi="Times New Roman;Times;Serif"/>
                <w:b w:val="false"/>
                <w:i w:val="false"/>
                <w:caps w:val="false"/>
                <w:smallCaps w:val="false"/>
                <w:sz w:val="20"/>
              </w:rPr>
              <w:t>”).</w:t>
            </w:r>
          </w:p>
        </w:tc>
      </w:tr>
      <w:tr>
        <w:trPr/>
        <w:tc>
          <w:tcPr>
            <w:tcW w:w="140" w:type="dxa"/>
            <w:tcBorders/>
            <w:vAlign w:val="center"/>
          </w:tcPr>
          <w:p>
            <w:pPr>
              <w:pStyle w:val="TableContents"/>
              <w:bidi w:val="0"/>
              <w:spacing w:before="0" w:after="283"/>
              <w:jc w:val="left"/>
              <w:rPr>
                <w:caps w:val="false"/>
                <w:smallCaps w:val="false"/>
              </w:rPr>
            </w:pPr>
            <w:r>
              <w:rPr>
                <w:caps w:val="false"/>
                <w:smallCaps w:val="false"/>
              </w:rPr>
              <w:t> </w:t>
            </w:r>
          </w:p>
        </w:tc>
        <w:tc>
          <w:tcPr>
            <w:tcW w:w="10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4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w:t>
            </w:r>
          </w:p>
        </w:tc>
        <w:tc>
          <w:tcPr>
            <w:tcW w:w="1006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Prevalence of the EIB Term Sheet</w:t>
            </w:r>
          </w:p>
        </w:tc>
      </w:tr>
      <w:tr>
        <w:trPr/>
        <w:tc>
          <w:tcPr>
            <w:tcW w:w="140" w:type="dxa"/>
            <w:tcBorders/>
            <w:vAlign w:val="center"/>
          </w:tcPr>
          <w:p>
            <w:pPr>
              <w:pStyle w:val="TableContents"/>
              <w:bidi w:val="0"/>
              <w:spacing w:before="0" w:after="283"/>
              <w:jc w:val="left"/>
              <w:rPr>
                <w:caps w:val="false"/>
                <w:smallCaps w:val="false"/>
              </w:rPr>
            </w:pPr>
            <w:r>
              <w:rPr>
                <w:caps w:val="false"/>
                <w:smallCaps w:val="false"/>
              </w:rPr>
              <w:t> </w:t>
            </w:r>
          </w:p>
        </w:tc>
        <w:tc>
          <w:tcPr>
            <w:tcW w:w="10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40" w:type="dxa"/>
            <w:tcBorders/>
            <w:vAlign w:val="center"/>
          </w:tcPr>
          <w:p>
            <w:pPr>
              <w:pStyle w:val="TableContents"/>
              <w:bidi w:val="0"/>
              <w:spacing w:before="0" w:after="283"/>
              <w:jc w:val="left"/>
              <w:rPr>
                <w:caps w:val="false"/>
                <w:smallCaps w:val="false"/>
              </w:rPr>
            </w:pPr>
            <w:r>
              <w:rPr>
                <w:caps w:val="false"/>
                <w:smallCaps w:val="false"/>
              </w:rPr>
              <w:t> </w:t>
            </w:r>
          </w:p>
        </w:tc>
        <w:tc>
          <w:tcPr>
            <w:tcW w:w="10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of any of any conflict, ambiguity, or discrepancy between the provisions of the term sheet entitled “Proposed terms and conditions for EIB loan conversion into Equity subject to approval” attached as Exhibit 7.2(e) to the Share Sale Agreement (the “</w:t>
            </w:r>
            <w:r>
              <w:rPr>
                <w:rFonts w:ascii="Times New Roman;Times;Serif" w:hAnsi="Times New Roman;Times;Serif"/>
                <w:b/>
                <w:i w:val="false"/>
                <w:caps w:val="false"/>
                <w:smallCaps w:val="false"/>
                <w:sz w:val="20"/>
              </w:rPr>
              <w:t>EIB Term Sheet</w:t>
            </w:r>
            <w:r>
              <w:rPr>
                <w:rFonts w:ascii="Times New Roman;Times;Serif" w:hAnsi="Times New Roman;Times;Serif"/>
                <w:b w:val="false"/>
                <w:i w:val="false"/>
                <w:caps w:val="false"/>
                <w:smallCaps w:val="false"/>
                <w:sz w:val="20"/>
              </w:rPr>
              <w:t>”) and the provision of the Share Sale Agreement, the provisions of the EIB Term Sheet shall prevail between the Parties, subject however, to the provisions of (i) this Joinder Agreement, (ii) the Purchaser Warrants Agreement attached as Exhibit 1.2(b) to the Share Sale Agreement, (iii) the Resale Organization Agreement attached as Exhibit 6.11 to the Share Sale Agreement which shall prevail over the EIB Term Sheet.</w:t>
            </w:r>
          </w:p>
        </w:tc>
      </w:tr>
    </w:tbl>
    <w:p>
      <w:pPr>
        <w:pStyle w:val="TextBody"/>
        <w:bidi w:val="0"/>
        <w:spacing w:before="0" w:after="0"/>
        <w:ind w:left="0" w:right="0" w:hanging="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w:t>
            </w:r>
          </w:p>
        </w:tc>
        <w:tc>
          <w:tcPr>
            <w:tcW w:w="991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Purchase and Sale </w:t>
            </w:r>
          </w:p>
        </w:tc>
      </w:tr>
      <w:tr>
        <w:trPr/>
        <w:tc>
          <w:tcPr>
            <w:tcW w:w="290" w:type="dxa"/>
            <w:tcBorders/>
            <w:vAlign w:val="center"/>
          </w:tcPr>
          <w:p>
            <w:pPr>
              <w:pStyle w:val="TableContents"/>
              <w:bidi w:val="0"/>
              <w:spacing w:before="0" w:after="283"/>
              <w:jc w:val="left"/>
              <w:rPr>
                <w:caps w:val="false"/>
                <w:smallCaps w:val="false"/>
              </w:rPr>
            </w:pPr>
            <w:r>
              <w:rPr>
                <w:caps w:val="false"/>
                <w:smallCaps w:val="false"/>
              </w:rPr>
              <w:t> </w:t>
            </w:r>
          </w:p>
        </w:tc>
        <w:tc>
          <w:tcPr>
            <w:tcW w:w="991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3.1</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 other provision to the contrary in the Share Sale Agreement, and in particular notwithstanding Section 1.2 (b) (</w:t>
            </w:r>
            <w:r>
              <w:rPr>
                <w:rFonts w:ascii="Times New Roman;Times;Serif" w:hAnsi="Times New Roman;Times;Serif"/>
                <w:b w:val="false"/>
                <w:i/>
                <w:caps w:val="false"/>
                <w:smallCaps w:val="false"/>
                <w:sz w:val="20"/>
              </w:rPr>
              <w:t>Total Consideration</w:t>
            </w:r>
            <w:r>
              <w:rPr>
                <w:rFonts w:ascii="Times New Roman;Times;Serif" w:hAnsi="Times New Roman;Times;Serif"/>
                <w:b w:val="false"/>
                <w:i w:val="false"/>
                <w:caps w:val="false"/>
                <w:smallCaps w:val="false"/>
                <w:sz w:val="20"/>
              </w:rPr>
              <w:t>) of the Share Sale Agreement, all Purchaser Common Stock otherwise issuable to EIB pursuant to the Share Sale Agreement (whether as Upfront Stock Consideration, Regulatory Milestone Consideration or Commercial Milestones Consideration if any) shall be issued in the form of Purchaser Warrants to purchase Purchaser Common Stock, without any requirement for the EIB to deliver any election notice or to take any further action in this respect.</w:t>
            </w:r>
          </w:p>
        </w:tc>
      </w:tr>
      <w:tr>
        <w:trPr/>
        <w:tc>
          <w:tcPr>
            <w:tcW w:w="290" w:type="dxa"/>
            <w:tcBorders/>
            <w:vAlign w:val="center"/>
          </w:tcPr>
          <w:p>
            <w:pPr>
              <w:pStyle w:val="TableContents"/>
              <w:bidi w:val="0"/>
              <w:spacing w:before="0" w:after="283"/>
              <w:jc w:val="left"/>
              <w:rPr>
                <w:caps w:val="false"/>
                <w:smallCaps w:val="false"/>
              </w:rPr>
            </w:pPr>
            <w:r>
              <w:rPr>
                <w:caps w:val="false"/>
                <w:smallCaps w:val="false"/>
              </w:rPr>
              <w:t> </w:t>
            </w:r>
          </w:p>
        </w:tc>
        <w:tc>
          <w:tcPr>
            <w:tcW w:w="991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3.2</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avoidance of doubt, the execution and delivery of this Joinder Agreement shall constitute the valid election referred to in Section 1.2(b) (</w:t>
            </w:r>
            <w:r>
              <w:rPr>
                <w:rFonts w:ascii="Times New Roman;Times;Serif" w:hAnsi="Times New Roman;Times;Serif"/>
                <w:b w:val="false"/>
                <w:i/>
                <w:caps w:val="false"/>
                <w:smallCaps w:val="false"/>
                <w:sz w:val="20"/>
              </w:rPr>
              <w:t>Total Consideration</w:t>
            </w:r>
            <w:r>
              <w:rPr>
                <w:rFonts w:ascii="Times New Roman;Times;Serif" w:hAnsi="Times New Roman;Times;Serif"/>
                <w:b w:val="false"/>
                <w:i w:val="false"/>
                <w:caps w:val="false"/>
                <w:smallCaps w:val="false"/>
                <w:sz w:val="20"/>
              </w:rPr>
              <w:t>) of the Share Sale Agreement with respect to EIB.</w:t>
            </w:r>
          </w:p>
        </w:tc>
      </w:tr>
      <w:tr>
        <w:trPr/>
        <w:tc>
          <w:tcPr>
            <w:tcW w:w="290" w:type="dxa"/>
            <w:tcBorders/>
            <w:vAlign w:val="center"/>
          </w:tcPr>
          <w:p>
            <w:pPr>
              <w:pStyle w:val="TableContents"/>
              <w:bidi w:val="0"/>
              <w:spacing w:before="0" w:after="283"/>
              <w:jc w:val="left"/>
              <w:rPr>
                <w:caps w:val="false"/>
                <w:smallCaps w:val="false"/>
              </w:rPr>
            </w:pPr>
            <w:r>
              <w:rPr>
                <w:caps w:val="false"/>
                <w:smallCaps w:val="false"/>
              </w:rPr>
              <w:t> </w:t>
            </w:r>
          </w:p>
        </w:tc>
        <w:tc>
          <w:tcPr>
            <w:tcW w:w="991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3.3</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anything to the contrary in the Share Sale Agreement, and in particular notwithstanding Section 2.2(b)(vii) (</w:t>
            </w:r>
            <w:r>
              <w:rPr>
                <w:rFonts w:ascii="Times New Roman;Times;Serif" w:hAnsi="Times New Roman;Times;Serif"/>
                <w:b w:val="false"/>
                <w:i/>
                <w:caps w:val="false"/>
                <w:smallCaps w:val="false"/>
                <w:sz w:val="20"/>
              </w:rPr>
              <w:t>Deliveries by the Sellers Representatives</w:t>
            </w:r>
            <w:r>
              <w:rPr>
                <w:rFonts w:ascii="Times New Roman;Times;Serif" w:hAnsi="Times New Roman;Times;Serif"/>
                <w:b w:val="false"/>
                <w:i w:val="false"/>
                <w:caps w:val="false"/>
                <w:smallCaps w:val="false"/>
                <w:sz w:val="20"/>
              </w:rPr>
              <w:t>) of the Share Sale Agreement, the Consideration Allocation Spreadsheet may be amended from time to time, subject to the prior written approval of each Seller, including the prior written consent of EIB, provided that (i) the Purchaser is notified in writing of any such modification no later than two (2) Business Days prior to the applicable payment date under the Share Sale Agreement (including the Closing Date, the Regulatory Earnout Payment Date and each Commercial Earnout Payment Date, as applicable) and (ii) any such modification shall be made under the sole and exclusive responsibility of the Sellers and the Purchaser shall incur no liability whatsoever with respect to the allocation of the Purchase Price made based on the Consideration Allocation Spreadsheet as so amended.</w:t>
            </w:r>
          </w:p>
        </w:tc>
      </w:tr>
      <w:tr>
        <w:trPr/>
        <w:tc>
          <w:tcPr>
            <w:tcW w:w="290" w:type="dxa"/>
            <w:tcBorders/>
            <w:vAlign w:val="center"/>
          </w:tcPr>
          <w:p>
            <w:pPr>
              <w:pStyle w:val="TableContents"/>
              <w:bidi w:val="0"/>
              <w:spacing w:before="0" w:after="283"/>
              <w:jc w:val="left"/>
              <w:rPr>
                <w:caps w:val="false"/>
                <w:smallCaps w:val="false"/>
              </w:rPr>
            </w:pPr>
            <w:r>
              <w:rPr>
                <w:caps w:val="false"/>
                <w:smallCaps w:val="false"/>
              </w:rPr>
              <w:t> </w:t>
            </w:r>
          </w:p>
        </w:tc>
        <w:tc>
          <w:tcPr>
            <w:tcW w:w="991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w:t>
            </w:r>
          </w:p>
        </w:tc>
        <w:tc>
          <w:tcPr>
            <w:tcW w:w="991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Representations and Warranties of the EIB</w:t>
            </w:r>
          </w:p>
        </w:tc>
      </w:tr>
      <w:tr>
        <w:trPr/>
        <w:tc>
          <w:tcPr>
            <w:tcW w:w="290" w:type="dxa"/>
            <w:tcBorders/>
            <w:vAlign w:val="center"/>
          </w:tcPr>
          <w:p>
            <w:pPr>
              <w:pStyle w:val="TableContents"/>
              <w:bidi w:val="0"/>
              <w:spacing w:before="0" w:after="283"/>
              <w:jc w:val="left"/>
              <w:rPr>
                <w:caps w:val="false"/>
                <w:smallCaps w:val="false"/>
              </w:rPr>
            </w:pPr>
            <w:r>
              <w:rPr>
                <w:caps w:val="false"/>
                <w:smallCaps w:val="false"/>
              </w:rPr>
              <w:t> </w:t>
            </w:r>
          </w:p>
        </w:tc>
        <w:tc>
          <w:tcPr>
            <w:tcW w:w="991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90" w:type="dxa"/>
            <w:tcBorders/>
            <w:vAlign w:val="center"/>
          </w:tcPr>
          <w:p>
            <w:pPr>
              <w:pStyle w:val="TableContents"/>
              <w:bidi w:val="0"/>
              <w:spacing w:before="0" w:after="283"/>
              <w:jc w:val="left"/>
              <w:rPr>
                <w:caps w:val="false"/>
                <w:smallCaps w:val="false"/>
              </w:rPr>
            </w:pPr>
            <w:r>
              <w:rPr>
                <w:caps w:val="false"/>
                <w:smallCaps w:val="false"/>
              </w:rPr>
              <w:t> </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 other provision to the contrary in the Share Sale Agreement, the EIB shall make no representation or warranty, express or implied, to the Purchaser or any other party, other than the representations and warranties expressly set out in Section 4 (</w:t>
            </w:r>
            <w:r>
              <w:rPr>
                <w:rFonts w:ascii="Times New Roman;Times;Serif" w:hAnsi="Times New Roman;Times;Serif"/>
                <w:b w:val="false"/>
                <w:i/>
                <w:caps w:val="false"/>
                <w:smallCaps w:val="false"/>
                <w:sz w:val="20"/>
              </w:rPr>
              <w:t>Representations and Warranties of Sellers</w:t>
            </w:r>
            <w:r>
              <w:rPr>
                <w:rFonts w:ascii="Times New Roman;Times;Serif" w:hAnsi="Times New Roman;Times;Serif"/>
                <w:b w:val="false"/>
                <w:i w:val="false"/>
                <w:caps w:val="false"/>
                <w:smallCaps w:val="false"/>
                <w:sz w:val="20"/>
              </w:rPr>
              <w:t xml:space="preserve">) of the Share Sale Agreement, as a Seller. The EIB confirms that it is a Regulation S Seller under Section 4.6(g) of the Share Sale Agreement. </w:t>
            </w:r>
          </w:p>
        </w:tc>
      </w:tr>
      <w:tr>
        <w:trPr/>
        <w:tc>
          <w:tcPr>
            <w:tcW w:w="290" w:type="dxa"/>
            <w:tcBorders/>
            <w:vAlign w:val="center"/>
          </w:tcPr>
          <w:p>
            <w:pPr>
              <w:pStyle w:val="TableContents"/>
              <w:bidi w:val="0"/>
              <w:spacing w:before="0" w:after="283"/>
              <w:jc w:val="left"/>
              <w:rPr>
                <w:caps w:val="false"/>
                <w:smallCaps w:val="false"/>
              </w:rPr>
            </w:pPr>
            <w:r>
              <w:rPr>
                <w:caps w:val="false"/>
                <w:smallCaps w:val="false"/>
              </w:rPr>
              <w:t> </w:t>
            </w:r>
          </w:p>
        </w:tc>
        <w:tc>
          <w:tcPr>
            <w:tcW w:w="991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w:t>
            </w:r>
          </w:p>
        </w:tc>
        <w:tc>
          <w:tcPr>
            <w:tcW w:w="991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Indemnification Obligations – Undertakings and Covenants</w:t>
            </w:r>
          </w:p>
        </w:tc>
      </w:tr>
      <w:tr>
        <w:trPr/>
        <w:tc>
          <w:tcPr>
            <w:tcW w:w="290" w:type="dxa"/>
            <w:tcBorders/>
            <w:vAlign w:val="center"/>
          </w:tcPr>
          <w:p>
            <w:pPr>
              <w:pStyle w:val="TableContents"/>
              <w:bidi w:val="0"/>
              <w:spacing w:before="0" w:after="283"/>
              <w:jc w:val="left"/>
              <w:rPr>
                <w:caps w:val="false"/>
                <w:smallCaps w:val="false"/>
              </w:rPr>
            </w:pPr>
            <w:r>
              <w:rPr>
                <w:caps w:val="false"/>
                <w:smallCaps w:val="false"/>
              </w:rPr>
              <w:t> </w:t>
            </w:r>
          </w:p>
        </w:tc>
        <w:tc>
          <w:tcPr>
            <w:tcW w:w="991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5.1</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EIB shall not be subject to the following indemnification obligations set out in the Share Sale Agreement, which shall only be borne by the other Sellers: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7"/>
        <w:gridCol w:w="9933"/>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3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Section 1.2 (</w:t>
            </w:r>
            <w:r>
              <w:rPr>
                <w:rFonts w:ascii="Times New Roman;Times;Serif" w:hAnsi="Times New Roman;Times;Serif"/>
                <w:b w:val="false"/>
                <w:i/>
                <w:caps w:val="false"/>
                <w:smallCaps w:val="false"/>
                <w:sz w:val="20"/>
              </w:rPr>
              <w:t>Total Consideration</w:t>
            </w:r>
            <w:r>
              <w:rPr>
                <w:rFonts w:ascii="Times New Roman;Times;Serif" w:hAnsi="Times New Roman;Times;Serif"/>
                <w:b w:val="false"/>
                <w:i w:val="false"/>
                <w:caps w:val="false"/>
                <w:smallCaps w:val="false"/>
                <w:sz w:val="20"/>
              </w:rPr>
              <w:t>) of the Share Sale Agreement, provided that the EIB agrees that the Purchaser will incur no liability whatsoever with respect to the allocation of the Purchase Price made based on the Consideration Allocation Spreadsheet;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7" w:type="dxa"/>
            <w:tcBorders/>
            <w:vAlign w:val="center"/>
          </w:tcPr>
          <w:p>
            <w:pPr>
              <w:pStyle w:val="TableContents"/>
              <w:bidi w:val="0"/>
              <w:spacing w:before="0" w:after="283"/>
              <w:jc w:val="left"/>
              <w:rPr>
                <w:caps w:val="false"/>
                <w:smallCaps w:val="false"/>
              </w:rPr>
            </w:pPr>
            <w:r>
              <w:rPr>
                <w:caps w:val="false"/>
                <w:smallCaps w:val="false"/>
              </w:rPr>
              <w:t> </w:t>
            </w:r>
          </w:p>
        </w:tc>
        <w:tc>
          <w:tcPr>
            <w:tcW w:w="993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3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Section 6.5 (</w:t>
            </w:r>
            <w:r>
              <w:rPr>
                <w:rFonts w:ascii="Times New Roman;Times;Serif" w:hAnsi="Times New Roman;Times;Serif"/>
                <w:b w:val="false"/>
                <w:i/>
                <w:caps w:val="false"/>
                <w:smallCaps w:val="false"/>
                <w:sz w:val="20"/>
              </w:rPr>
              <w:t>Tax Matters</w:t>
            </w:r>
            <w:r>
              <w:rPr>
                <w:rFonts w:ascii="Times New Roman;Times;Serif" w:hAnsi="Times New Roman;Times;Serif"/>
                <w:b w:val="false"/>
                <w:i w:val="false"/>
                <w:caps w:val="false"/>
                <w:smallCaps w:val="false"/>
                <w:sz w:val="20"/>
              </w:rPr>
              <w:t>) of the Share Sale Agreement;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7" w:type="dxa"/>
            <w:tcBorders/>
            <w:vAlign w:val="center"/>
          </w:tcPr>
          <w:p>
            <w:pPr>
              <w:pStyle w:val="TableContents"/>
              <w:bidi w:val="0"/>
              <w:spacing w:before="0" w:after="283"/>
              <w:jc w:val="left"/>
              <w:rPr>
                <w:caps w:val="false"/>
                <w:smallCaps w:val="false"/>
              </w:rPr>
            </w:pPr>
            <w:r>
              <w:rPr>
                <w:caps w:val="false"/>
                <w:smallCaps w:val="false"/>
              </w:rPr>
              <w:t> </w:t>
            </w:r>
          </w:p>
        </w:tc>
        <w:tc>
          <w:tcPr>
            <w:tcW w:w="993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3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Section 8.2 (</w:t>
            </w:r>
            <w:r>
              <w:rPr>
                <w:rFonts w:ascii="Times New Roman;Times;Serif" w:hAnsi="Times New Roman;Times;Serif"/>
                <w:b w:val="false"/>
                <w:i/>
                <w:caps w:val="false"/>
                <w:smallCaps w:val="false"/>
                <w:sz w:val="20"/>
              </w:rPr>
              <w:t>Indemnification</w:t>
            </w:r>
            <w:r>
              <w:rPr>
                <w:rFonts w:ascii="Times New Roman;Times;Serif" w:hAnsi="Times New Roman;Times;Serif"/>
                <w:b w:val="false"/>
                <w:i w:val="false"/>
                <w:caps w:val="false"/>
                <w:smallCaps w:val="false"/>
                <w:sz w:val="20"/>
              </w:rPr>
              <w:t>) of the Share Sale Agreement, except in relation to (i) the representations and warranties made by the EIB as a Seller (subject to the limitations set forth herein) under Article IV (</w:t>
            </w:r>
            <w:r>
              <w:rPr>
                <w:rFonts w:ascii="Times New Roman;Times;Serif" w:hAnsi="Times New Roman;Times;Serif"/>
                <w:b w:val="false"/>
                <w:i/>
                <w:caps w:val="false"/>
                <w:smallCaps w:val="false"/>
                <w:sz w:val="20"/>
              </w:rPr>
              <w:t>Representations and Warranties of the Sellers</w:t>
            </w:r>
            <w:r>
              <w:rPr>
                <w:rFonts w:ascii="Times New Roman;Times;Serif" w:hAnsi="Times New Roman;Times;Serif"/>
                <w:b w:val="false"/>
                <w:i w:val="false"/>
                <w:caps w:val="false"/>
                <w:smallCaps w:val="false"/>
                <w:sz w:val="20"/>
              </w:rPr>
              <w:t>) on an individual but not joint basis, which shall be the only representations and warranties made by the EIB under the Share Sale Agreement and (ii) the covenants or agreements made by the EIB as a Seller (subject to the limitations set forth herein) on an individual but not joint basis;</w:t>
            </w:r>
          </w:p>
        </w:tc>
      </w:tr>
    </w:tbl>
    <w:p>
      <w:pPr>
        <w:pStyle w:val="TextBody"/>
        <w:bidi w:val="0"/>
        <w:spacing w:before="0" w:after="0"/>
        <w:ind w:left="0" w:right="0" w:hanging="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26"/>
        <w:gridCol w:w="9904"/>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2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0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Section 9.2(b) (</w:t>
            </w:r>
            <w:r>
              <w:rPr>
                <w:rFonts w:ascii="Times New Roman;Times;Serif" w:hAnsi="Times New Roman;Times;Serif"/>
                <w:b w:val="false"/>
                <w:i/>
                <w:caps w:val="false"/>
                <w:smallCaps w:val="false"/>
                <w:sz w:val="20"/>
              </w:rPr>
              <w:t>Breakup Fee</w:t>
            </w:r>
            <w:r>
              <w:rPr>
                <w:rFonts w:ascii="Times New Roman;Times;Serif" w:hAnsi="Times New Roman;Times;Serif"/>
                <w:b w:val="false"/>
                <w:i w:val="false"/>
                <w:caps w:val="false"/>
                <w:smallCaps w:val="false"/>
                <w:sz w:val="20"/>
              </w:rPr>
              <w:t>) of the Share Sale Agreement unless the EIB has breached Section 6.9 of the Share Sale Agreement only to the extent of its own actions.</w:t>
            </w:r>
          </w:p>
        </w:tc>
      </w:tr>
    </w:tbl>
    <w:p>
      <w:pPr>
        <w:pStyle w:val="TextBody"/>
        <w:bidi w:val="0"/>
        <w:spacing w:before="0" w:after="0"/>
        <w:ind w:left="13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5.2</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EIB shall not be bound by the following undertakings and covenants set out in the Share Sale Agreement, which shall only be borne by the other Sellers: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38"/>
        <w:gridCol w:w="9892"/>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89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undertaking to procure or cause the Company to take or refrain from taking any action, or any other similar undertaking;</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8" w:type="dxa"/>
            <w:tcBorders/>
            <w:vAlign w:val="center"/>
          </w:tcPr>
          <w:p>
            <w:pPr>
              <w:pStyle w:val="TableContents"/>
              <w:bidi w:val="0"/>
              <w:spacing w:before="0" w:after="283"/>
              <w:jc w:val="left"/>
              <w:rPr>
                <w:caps w:val="false"/>
                <w:smallCaps w:val="false"/>
              </w:rPr>
            </w:pPr>
            <w:r>
              <w:rPr>
                <w:caps w:val="false"/>
                <w:smallCaps w:val="false"/>
              </w:rPr>
              <w:t> </w:t>
            </w:r>
          </w:p>
        </w:tc>
        <w:tc>
          <w:tcPr>
            <w:tcW w:w="989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89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Section 6.8 (</w:t>
            </w:r>
            <w:r>
              <w:rPr>
                <w:rFonts w:ascii="Times New Roman;Times;Serif" w:hAnsi="Times New Roman;Times;Serif"/>
                <w:b w:val="false"/>
                <w:i/>
                <w:caps w:val="false"/>
                <w:smallCaps w:val="false"/>
                <w:sz w:val="20"/>
              </w:rPr>
              <w:t>Non-Solicit</w:t>
            </w:r>
            <w:r>
              <w:rPr>
                <w:rFonts w:ascii="Times New Roman;Times;Serif" w:hAnsi="Times New Roman;Times;Serif"/>
                <w:b w:val="false"/>
                <w:i w:val="false"/>
                <w:caps w:val="false"/>
                <w:smallCaps w:val="false"/>
                <w:sz w:val="20"/>
              </w:rPr>
              <w:t>) of the Share Sale Agreement;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8" w:type="dxa"/>
            <w:tcBorders/>
            <w:vAlign w:val="center"/>
          </w:tcPr>
          <w:p>
            <w:pPr>
              <w:pStyle w:val="TableContents"/>
              <w:bidi w:val="0"/>
              <w:spacing w:before="0" w:after="283"/>
              <w:jc w:val="left"/>
              <w:rPr>
                <w:caps w:val="false"/>
                <w:smallCaps w:val="false"/>
              </w:rPr>
            </w:pPr>
            <w:r>
              <w:rPr>
                <w:caps w:val="false"/>
                <w:smallCaps w:val="false"/>
              </w:rPr>
              <w:t> </w:t>
            </w:r>
          </w:p>
        </w:tc>
        <w:tc>
          <w:tcPr>
            <w:tcW w:w="989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89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Section 6.9 (</w:t>
            </w:r>
            <w:r>
              <w:rPr>
                <w:rFonts w:ascii="Times New Roman;Times;Serif" w:hAnsi="Times New Roman;Times;Serif"/>
                <w:b w:val="false"/>
                <w:i/>
                <w:caps w:val="false"/>
                <w:smallCaps w:val="false"/>
                <w:sz w:val="20"/>
              </w:rPr>
              <w:t>Exclusivity</w:t>
            </w:r>
            <w:r>
              <w:rPr>
                <w:rFonts w:ascii="Times New Roman;Times;Serif" w:hAnsi="Times New Roman;Times;Serif"/>
                <w:b w:val="false"/>
                <w:i w:val="false"/>
                <w:caps w:val="false"/>
                <w:smallCaps w:val="false"/>
                <w:sz w:val="20"/>
              </w:rPr>
              <w:t>) of the Share Sale Agreement, which shall be applicable to the EIB only to the extent of its own actions.</w:t>
            </w:r>
          </w:p>
        </w:tc>
      </w:tr>
    </w:tbl>
    <w:p>
      <w:pPr>
        <w:pStyle w:val="TextBody"/>
        <w:bidi w:val="0"/>
        <w:spacing w:before="0" w:after="0"/>
        <w:ind w:left="13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5"/>
        <w:gridCol w:w="9892"/>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5.3</w:t>
            </w:r>
          </w:p>
        </w:tc>
        <w:tc>
          <w:tcPr>
            <w:tcW w:w="989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avoidance of doubt, the liability of the EIB under this Joinder and the Share Sale Agreement shall in all cases be limited to its own representations, warranties, undertakings and covenants as set out in this paragraph 5, and the EIB shall have no liability whatsoever in respect of any representation, warranty, undertaking, covenant or other obligation of any other Seller and/or of the Company.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w:t>
            </w:r>
          </w:p>
        </w:tc>
        <w:tc>
          <w:tcPr>
            <w:tcW w:w="1006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Sellers Representatives</w:t>
            </w:r>
          </w:p>
        </w:tc>
      </w:tr>
      <w:tr>
        <w:trPr/>
        <w:tc>
          <w:tcPr>
            <w:tcW w:w="140" w:type="dxa"/>
            <w:tcBorders/>
            <w:vAlign w:val="center"/>
          </w:tcPr>
          <w:p>
            <w:pPr>
              <w:pStyle w:val="TableContents"/>
              <w:bidi w:val="0"/>
              <w:spacing w:before="0" w:after="283"/>
              <w:jc w:val="left"/>
              <w:rPr>
                <w:caps w:val="false"/>
                <w:smallCaps w:val="false"/>
              </w:rPr>
            </w:pPr>
            <w:r>
              <w:rPr>
                <w:caps w:val="false"/>
                <w:smallCaps w:val="false"/>
              </w:rPr>
              <w:t> </w:t>
            </w:r>
          </w:p>
        </w:tc>
        <w:tc>
          <w:tcPr>
            <w:tcW w:w="1006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40" w:type="dxa"/>
            <w:tcBorders/>
            <w:vAlign w:val="center"/>
          </w:tcPr>
          <w:p>
            <w:pPr>
              <w:pStyle w:val="TableContents"/>
              <w:bidi w:val="0"/>
              <w:spacing w:before="0" w:after="283"/>
              <w:jc w:val="left"/>
              <w:rPr>
                <w:caps w:val="false"/>
                <w:smallCaps w:val="false"/>
              </w:rPr>
            </w:pPr>
            <w:r>
              <w:rPr>
                <w:caps w:val="false"/>
                <w:smallCaps w:val="false"/>
              </w:rPr>
              <w:t> </w:t>
            </w:r>
          </w:p>
        </w:tc>
        <w:tc>
          <w:tcPr>
            <w:tcW w:w="10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provisions of Section 8.9 (</w:t>
            </w:r>
            <w:r>
              <w:rPr>
                <w:rFonts w:ascii="Times New Roman;Times;Serif" w:hAnsi="Times New Roman;Times;Serif"/>
                <w:b w:val="false"/>
                <w:i/>
                <w:caps w:val="false"/>
                <w:smallCaps w:val="false"/>
                <w:sz w:val="20"/>
              </w:rPr>
              <w:t>Sellers Representatives</w:t>
            </w:r>
            <w:r>
              <w:rPr>
                <w:rFonts w:ascii="Times New Roman;Times;Serif" w:hAnsi="Times New Roman;Times;Serif"/>
                <w:b w:val="false"/>
                <w:i w:val="false"/>
                <w:caps w:val="false"/>
                <w:smallCaps w:val="false"/>
                <w:sz w:val="20"/>
              </w:rPr>
              <w:t>) of the Share Sale Agreement shall apply to the EIB subject, however, to the following terms and conditions: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9"/>
        <w:gridCol w:w="9931"/>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3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Sellers Representatives shall not, without the prior written consent of the EIB, take any action, defend and/or settle any claim, give and receive any notice or take any additional action on behalf of the EIB, where such an action, defense, settlement and/or notice shall or is reasonably likely to have an adverse impact for the EIB and any such action, defense, settlement and/or notice in breach of such provision shall not be binding upon the EIB;</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9" w:type="dxa"/>
            <w:tcBorders/>
            <w:vAlign w:val="center"/>
          </w:tcPr>
          <w:p>
            <w:pPr>
              <w:pStyle w:val="TableContents"/>
              <w:bidi w:val="0"/>
              <w:spacing w:before="0" w:after="283"/>
              <w:jc w:val="left"/>
              <w:rPr>
                <w:caps w:val="false"/>
                <w:smallCaps w:val="false"/>
              </w:rPr>
            </w:pPr>
            <w:r>
              <w:rPr>
                <w:caps w:val="false"/>
                <w:smallCaps w:val="false"/>
              </w:rPr>
              <w:t> </w:t>
            </w:r>
          </w:p>
        </w:tc>
        <w:tc>
          <w:tcPr>
            <w:tcW w:w="9931"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w:t>
            </w:r>
          </w:p>
        </w:tc>
        <w:tc>
          <w:tcPr>
            <w:tcW w:w="993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particular, the Sellers Representatives shall not, without the prior written consent of the EIB, accept any deduction from or set-off against, the portion of the Purchase Price (including any Earn-Out Consideration) payable to the EIB under the Share Sale Agreement;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9" w:type="dxa"/>
            <w:tcBorders/>
            <w:vAlign w:val="center"/>
          </w:tcPr>
          <w:p>
            <w:pPr>
              <w:pStyle w:val="TableContents"/>
              <w:bidi w:val="0"/>
              <w:spacing w:before="0" w:after="283"/>
              <w:jc w:val="left"/>
              <w:rPr>
                <w:caps w:val="false"/>
                <w:smallCaps w:val="false"/>
              </w:rPr>
            </w:pPr>
            <w:r>
              <w:rPr>
                <w:caps w:val="false"/>
                <w:smallCaps w:val="false"/>
              </w:rPr>
              <w:t> </w:t>
            </w:r>
          </w:p>
        </w:tc>
        <w:tc>
          <w:tcPr>
            <w:tcW w:w="9931"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w:t>
            </w:r>
          </w:p>
        </w:tc>
        <w:tc>
          <w:tcPr>
            <w:tcW w:w="993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EIB shall not be subject to the indemnification obligations set out in Section 8.9(c) of the Share Sale Agreement, which shall only be borne by the other Sellers;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9" w:type="dxa"/>
            <w:tcBorders/>
            <w:vAlign w:val="center"/>
          </w:tcPr>
          <w:p>
            <w:pPr>
              <w:pStyle w:val="TableContents"/>
              <w:bidi w:val="0"/>
              <w:spacing w:before="0" w:after="283"/>
              <w:jc w:val="left"/>
              <w:rPr>
                <w:caps w:val="false"/>
                <w:smallCaps w:val="false"/>
              </w:rPr>
            </w:pPr>
            <w:r>
              <w:rPr>
                <w:caps w:val="false"/>
                <w:smallCaps w:val="false"/>
              </w:rPr>
              <w:t> </w:t>
            </w:r>
          </w:p>
        </w:tc>
        <w:tc>
          <w:tcPr>
            <w:tcW w:w="9931"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w:t>
            </w:r>
          </w:p>
        </w:tc>
        <w:tc>
          <w:tcPr>
            <w:tcW w:w="993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Sellers Representatives shall promptly provide the EIB with a copy of any notice, document, action or communication given or received by the Sellers Representatives in their capacity as such. </w:t>
            </w:r>
          </w:p>
        </w:tc>
      </w:tr>
    </w:tbl>
    <w:p>
      <w:pPr>
        <w:pStyle w:val="TextBody"/>
        <w:bidi w:val="0"/>
        <w:spacing w:before="0" w:after="0"/>
        <w:ind w:left="136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p>
      <w:pPr>
        <w:pStyle w:val="TextBody"/>
        <w:bidi w:val="0"/>
        <w:spacing w:before="0" w:after="0"/>
        <w:ind w:left="0" w:right="0" w:hanging="0"/>
        <w:jc w:val="left"/>
        <w:rPr/>
      </w:pPr>
      <w:r>
        <w:rPr/>
        <w:t> </w:t>
      </w:r>
    </w:p>
    <w:p>
      <w:pPr>
        <w:pStyle w:val="TextBody"/>
        <w:bidi w:val="0"/>
        <w:spacing w:before="0" w:after="0"/>
        <w:ind w:left="13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w:t>
            </w:r>
          </w:p>
        </w:tc>
        <w:tc>
          <w:tcPr>
            <w:tcW w:w="1006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Notice</w:t>
            </w:r>
          </w:p>
        </w:tc>
      </w:tr>
      <w:tr>
        <w:trPr/>
        <w:tc>
          <w:tcPr>
            <w:tcW w:w="140" w:type="dxa"/>
            <w:tcBorders/>
            <w:vAlign w:val="center"/>
          </w:tcPr>
          <w:p>
            <w:pPr>
              <w:pStyle w:val="TableContents"/>
              <w:bidi w:val="0"/>
              <w:spacing w:before="0" w:after="283"/>
              <w:jc w:val="left"/>
              <w:rPr>
                <w:caps w:val="false"/>
                <w:smallCaps w:val="false"/>
              </w:rPr>
            </w:pPr>
            <w:r>
              <w:rPr>
                <w:caps w:val="false"/>
                <w:smallCaps w:val="false"/>
              </w:rPr>
              <w:t> </w:t>
            </w:r>
          </w:p>
        </w:tc>
        <w:tc>
          <w:tcPr>
            <w:tcW w:w="1006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40" w:type="dxa"/>
            <w:tcBorders/>
            <w:vAlign w:val="center"/>
          </w:tcPr>
          <w:p>
            <w:pPr>
              <w:pStyle w:val="TableContents"/>
              <w:bidi w:val="0"/>
              <w:spacing w:before="0" w:after="283"/>
              <w:jc w:val="left"/>
              <w:rPr>
                <w:caps w:val="false"/>
                <w:smallCaps w:val="false"/>
              </w:rPr>
            </w:pPr>
            <w:r>
              <w:rPr>
                <w:caps w:val="false"/>
                <w:smallCaps w:val="false"/>
              </w:rPr>
              <w:t> </w:t>
            </w:r>
          </w:p>
        </w:tc>
        <w:tc>
          <w:tcPr>
            <w:tcW w:w="10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purpose of Section 10.5 (</w:t>
            </w:r>
            <w:r>
              <w:rPr>
                <w:rFonts w:ascii="Times New Roman;Times;Serif" w:hAnsi="Times New Roman;Times;Serif"/>
                <w:b w:val="false"/>
                <w:i/>
                <w:caps w:val="false"/>
                <w:smallCaps w:val="false"/>
                <w:sz w:val="20"/>
              </w:rPr>
              <w:t>Notice</w:t>
            </w:r>
            <w:r>
              <w:rPr>
                <w:rFonts w:ascii="Times New Roman;Times;Serif" w:hAnsi="Times New Roman;Times;Serif"/>
                <w:b w:val="false"/>
                <w:i w:val="false"/>
                <w:caps w:val="false"/>
                <w:smallCaps w:val="false"/>
                <w:sz w:val="20"/>
              </w:rPr>
              <w:t>) of the Share Sale Agreement, all communications to the EIB shall be given at the following address (or at such other address as shall be specified by the EIB by like notice):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European Investment Bank</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 boulevard Konrad Adenauer</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L-2950 Luxembourg, Grand-Duchy of Luxembourg</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to (which shall not constitute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Linklaters LLP</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 rue de Marignan,</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75008 Paris, France</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w:t>
            </w:r>
          </w:p>
        </w:tc>
        <w:tc>
          <w:tcPr>
            <w:tcW w:w="1006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Confidentiality</w:t>
            </w:r>
          </w:p>
        </w:tc>
      </w:tr>
      <w:tr>
        <w:trPr/>
        <w:tc>
          <w:tcPr>
            <w:tcW w:w="140" w:type="dxa"/>
            <w:tcBorders/>
            <w:vAlign w:val="center"/>
          </w:tcPr>
          <w:p>
            <w:pPr>
              <w:pStyle w:val="TableContents"/>
              <w:bidi w:val="0"/>
              <w:spacing w:before="0" w:after="283"/>
              <w:jc w:val="left"/>
              <w:rPr>
                <w:caps w:val="false"/>
                <w:smallCaps w:val="false"/>
              </w:rPr>
            </w:pPr>
            <w:r>
              <w:rPr>
                <w:caps w:val="false"/>
                <w:smallCaps w:val="false"/>
              </w:rPr>
              <w:t> </w:t>
            </w:r>
          </w:p>
        </w:tc>
        <w:tc>
          <w:tcPr>
            <w:tcW w:w="1006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40" w:type="dxa"/>
            <w:tcBorders/>
            <w:vAlign w:val="center"/>
          </w:tcPr>
          <w:p>
            <w:pPr>
              <w:pStyle w:val="TableContents"/>
              <w:bidi w:val="0"/>
              <w:spacing w:before="0" w:after="283"/>
              <w:jc w:val="left"/>
              <w:rPr>
                <w:caps w:val="false"/>
                <w:smallCaps w:val="false"/>
              </w:rPr>
            </w:pPr>
            <w:r>
              <w:rPr>
                <w:caps w:val="false"/>
                <w:smallCaps w:val="false"/>
              </w:rPr>
              <w:t> </w:t>
            </w:r>
          </w:p>
        </w:tc>
        <w:tc>
          <w:tcPr>
            <w:tcW w:w="10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provisions of Section 6.7 (</w:t>
            </w:r>
            <w:r>
              <w:rPr>
                <w:rFonts w:ascii="Times New Roman;Times;Serif" w:hAnsi="Times New Roman;Times;Serif"/>
                <w:b w:val="false"/>
                <w:i/>
                <w:caps w:val="false"/>
                <w:smallCaps w:val="false"/>
                <w:sz w:val="20"/>
              </w:rPr>
              <w:t>Confidentiality</w:t>
            </w:r>
            <w:r>
              <w:rPr>
                <w:rFonts w:ascii="Times New Roman;Times;Serif" w:hAnsi="Times New Roman;Times;Serif"/>
                <w:b w:val="false"/>
                <w:i w:val="false"/>
                <w:caps w:val="false"/>
                <w:smallCaps w:val="false"/>
                <w:sz w:val="20"/>
              </w:rPr>
              <w:t xml:space="preserve">) of the Share Sale Agreement, the EIB shall have the right to disclose information relating to the other Parties, the Company, the Transaction Documents and the Transactions (for information purposes only and on a non-reliance basis) as follows: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3"/>
        <w:gridCol w:w="9927"/>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2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EIB’s potential successors and permitted assignees;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3" w:type="dxa"/>
            <w:tcBorders/>
            <w:vAlign w:val="center"/>
          </w:tcPr>
          <w:p>
            <w:pPr>
              <w:pStyle w:val="TableContents"/>
              <w:bidi w:val="0"/>
              <w:spacing w:before="0" w:after="283"/>
              <w:jc w:val="left"/>
              <w:rPr>
                <w:caps w:val="false"/>
                <w:smallCaps w:val="false"/>
              </w:rPr>
            </w:pPr>
            <w:r>
              <w:rPr>
                <w:caps w:val="false"/>
                <w:smallCaps w:val="false"/>
              </w:rPr>
              <w:t> </w:t>
            </w:r>
          </w:p>
        </w:tc>
        <w:tc>
          <w:tcPr>
            <w:tcW w:w="992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2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EIB’s Affiliates, directors, officers, employees, professional advisers, auditors and regulators or parties having an analogous contractual relationship with the EIB;</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3" w:type="dxa"/>
            <w:tcBorders/>
            <w:vAlign w:val="center"/>
          </w:tcPr>
          <w:p>
            <w:pPr>
              <w:pStyle w:val="TableContents"/>
              <w:bidi w:val="0"/>
              <w:spacing w:before="0" w:after="283"/>
              <w:jc w:val="left"/>
              <w:rPr>
                <w:caps w:val="false"/>
                <w:smallCaps w:val="false"/>
              </w:rPr>
            </w:pPr>
            <w:r>
              <w:rPr>
                <w:caps w:val="false"/>
                <w:smallCaps w:val="false"/>
              </w:rPr>
              <w:t> </w:t>
            </w:r>
          </w:p>
        </w:tc>
        <w:tc>
          <w:tcPr>
            <w:tcW w:w="992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2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required by law or regulation, in accordance with any treaty or document of a similar nature binding on the EIB or pursuant to any agreement to which the EIB is a party which implements such law, regulation, treaty or binding document of a similar nature or pursuant to the rules of any relevant stock exchange;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3" w:type="dxa"/>
            <w:tcBorders/>
            <w:vAlign w:val="center"/>
          </w:tcPr>
          <w:p>
            <w:pPr>
              <w:pStyle w:val="TableContents"/>
              <w:bidi w:val="0"/>
              <w:spacing w:before="0" w:after="283"/>
              <w:jc w:val="left"/>
              <w:rPr>
                <w:caps w:val="false"/>
                <w:smallCaps w:val="false"/>
              </w:rPr>
            </w:pPr>
            <w:r>
              <w:rPr>
                <w:caps w:val="false"/>
                <w:smallCaps w:val="false"/>
              </w:rPr>
              <w:t> </w:t>
            </w:r>
          </w:p>
        </w:tc>
        <w:tc>
          <w:tcPr>
            <w:tcW w:w="992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2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members of the EIB Group, any European Union authorities and institutions, including the European Commission, the European Court of Auditors, the European Public Prosecutor’s Office (EPPO) and/or the European Anti-Fraud Office (OLAF);</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3" w:type="dxa"/>
            <w:tcBorders/>
            <w:vAlign w:val="center"/>
          </w:tcPr>
          <w:p>
            <w:pPr>
              <w:pStyle w:val="TableContents"/>
              <w:bidi w:val="0"/>
              <w:spacing w:before="0" w:after="283"/>
              <w:jc w:val="left"/>
              <w:rPr>
                <w:caps w:val="false"/>
                <w:smallCaps w:val="false"/>
              </w:rPr>
            </w:pPr>
            <w:r>
              <w:rPr>
                <w:caps w:val="false"/>
                <w:smallCaps w:val="false"/>
              </w:rPr>
              <w:t> </w:t>
            </w:r>
          </w:p>
        </w:tc>
        <w:tc>
          <w:tcPr>
            <w:tcW w:w="992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w:t>
            </w:r>
          </w:p>
        </w:tc>
        <w:tc>
          <w:tcPr>
            <w:tcW w:w="992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Member States of the European Union (including their representatives) or committees set up by the European Commission and/or Member States under any mandate under which the EIB operates, in order to obtain any opinion, consent, or waiver required in connection with any Transaction Document, or the Transactions contemplated therein;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3" w:type="dxa"/>
            <w:tcBorders/>
            <w:vAlign w:val="center"/>
          </w:tcPr>
          <w:p>
            <w:pPr>
              <w:pStyle w:val="TableContents"/>
              <w:bidi w:val="0"/>
              <w:spacing w:before="0" w:after="283"/>
              <w:jc w:val="left"/>
              <w:rPr>
                <w:caps w:val="false"/>
                <w:smallCaps w:val="false"/>
              </w:rPr>
            </w:pPr>
            <w:r>
              <w:rPr>
                <w:caps w:val="false"/>
                <w:smallCaps w:val="false"/>
              </w:rPr>
              <w:t> </w:t>
            </w:r>
          </w:p>
        </w:tc>
        <w:tc>
          <w:tcPr>
            <w:tcW w:w="992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w:t>
            </w:r>
          </w:p>
        </w:tc>
        <w:tc>
          <w:tcPr>
            <w:tcW w:w="992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whom information is required or requested to be disclosed by any court of competent jurisdiction for the purposes of any litigation, arbitration or other investigations, proceedings or disputes or any governmental, banking, taxation or other regulatory authority or similar body, or by any equivalent body of the European Union or of any of its Member States;</w:t>
            </w:r>
          </w:p>
        </w:tc>
      </w:tr>
    </w:tbl>
    <w:p>
      <w:pPr>
        <w:pStyle w:val="TextBody"/>
        <w:bidi w:val="0"/>
        <w:spacing w:before="0" w:after="0"/>
        <w:ind w:left="0" w:right="0" w:hanging="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5"/>
        <w:gridCol w:w="992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w:t>
            </w:r>
          </w:p>
        </w:tc>
        <w:tc>
          <w:tcPr>
            <w:tcW w:w="99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protect its interests in the course of any legal or arbitration proceedings to which the EIB is a party;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5" w:type="dxa"/>
            <w:tcBorders/>
            <w:vAlign w:val="center"/>
          </w:tcPr>
          <w:p>
            <w:pPr>
              <w:pStyle w:val="TableContents"/>
              <w:bidi w:val="0"/>
              <w:spacing w:before="0" w:after="283"/>
              <w:jc w:val="left"/>
              <w:rPr>
                <w:caps w:val="false"/>
                <w:smallCaps w:val="false"/>
              </w:rPr>
            </w:pPr>
            <w:r>
              <w:rPr>
                <w:caps w:val="false"/>
                <w:smallCaps w:val="false"/>
              </w:rPr>
              <w:t> </w:t>
            </w:r>
          </w:p>
        </w:tc>
        <w:tc>
          <w:tcPr>
            <w:tcW w:w="992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w:t>
            </w:r>
          </w:p>
        </w:tc>
        <w:tc>
          <w:tcPr>
            <w:tcW w:w="99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any person in connection with any court or arbitral proceedings in respect of a dispute or claim to which it is a party in respect of any Transaction Document but only to the extent required by the relevant court or arbitral tribunal and/or to the extent necessary to assert or protect its rights before such court or tribunal;</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5" w:type="dxa"/>
            <w:tcBorders/>
            <w:vAlign w:val="center"/>
          </w:tcPr>
          <w:p>
            <w:pPr>
              <w:pStyle w:val="TableContents"/>
              <w:bidi w:val="0"/>
              <w:spacing w:before="0" w:after="283"/>
              <w:jc w:val="left"/>
              <w:rPr>
                <w:caps w:val="false"/>
                <w:smallCaps w:val="false"/>
              </w:rPr>
            </w:pPr>
            <w:r>
              <w:rPr>
                <w:caps w:val="false"/>
                <w:smallCaps w:val="false"/>
              </w:rPr>
              <w:t> </w:t>
            </w:r>
          </w:p>
        </w:tc>
        <w:tc>
          <w:tcPr>
            <w:tcW w:w="992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99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the EIB’s Transparency Policy and Anti-fraud Policy (as published on the EIB’s website); 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5" w:type="dxa"/>
            <w:tcBorders/>
            <w:vAlign w:val="center"/>
          </w:tcPr>
          <w:p>
            <w:pPr>
              <w:pStyle w:val="TableContents"/>
              <w:bidi w:val="0"/>
              <w:spacing w:before="0" w:after="283"/>
              <w:jc w:val="left"/>
              <w:rPr>
                <w:caps w:val="false"/>
                <w:smallCaps w:val="false"/>
              </w:rPr>
            </w:pPr>
            <w:r>
              <w:rPr>
                <w:caps w:val="false"/>
                <w:smallCaps w:val="false"/>
              </w:rPr>
              <w:t> </w:t>
            </w:r>
          </w:p>
        </w:tc>
        <w:tc>
          <w:tcPr>
            <w:tcW w:w="992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w:t>
            </w:r>
          </w:p>
        </w:tc>
        <w:tc>
          <w:tcPr>
            <w:tcW w:w="99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any other person not listed above, with the Purchaser and Sellers Representatives’ prior written consent.</w:t>
            </w:r>
          </w:p>
        </w:tc>
      </w:tr>
    </w:tbl>
    <w:p>
      <w:pPr>
        <w:pStyle w:val="TextBody"/>
        <w:bidi w:val="0"/>
        <w:spacing w:before="0" w:after="0"/>
        <w:ind w:left="13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w:t>
            </w:r>
          </w:p>
        </w:tc>
        <w:tc>
          <w:tcPr>
            <w:tcW w:w="981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Assignment</w:t>
            </w:r>
          </w:p>
        </w:tc>
      </w:tr>
      <w:tr>
        <w:trPr/>
        <w:tc>
          <w:tcPr>
            <w:tcW w:w="395" w:type="dxa"/>
            <w:tcBorders/>
            <w:vAlign w:val="center"/>
          </w:tcPr>
          <w:p>
            <w:pPr>
              <w:pStyle w:val="TableContents"/>
              <w:bidi w:val="0"/>
              <w:spacing w:before="0" w:after="283"/>
              <w:jc w:val="left"/>
              <w:rPr>
                <w:caps w:val="false"/>
                <w:smallCaps w:val="false"/>
              </w:rPr>
            </w:pPr>
            <w:r>
              <w:rPr>
                <w:caps w:val="false"/>
                <w:smallCaps w:val="false"/>
              </w:rPr>
              <w:t> </w:t>
            </w:r>
          </w:p>
        </w:tc>
        <w:tc>
          <w:tcPr>
            <w:tcW w:w="981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95" w:type="dxa"/>
            <w:tcBorders/>
            <w:vAlign w:val="center"/>
          </w:tcPr>
          <w:p>
            <w:pPr>
              <w:pStyle w:val="TableContents"/>
              <w:bidi w:val="0"/>
              <w:spacing w:before="0" w:after="283"/>
              <w:jc w:val="left"/>
              <w:rPr>
                <w:caps w:val="false"/>
                <w:smallCaps w:val="false"/>
              </w:rPr>
            </w:pPr>
            <w:r>
              <w:rPr>
                <w:caps w:val="false"/>
                <w:smallCaps w:val="false"/>
              </w:rPr>
              <w:t> </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provisions of Section 10.13 (</w:t>
            </w:r>
            <w:r>
              <w:rPr>
                <w:rFonts w:ascii="Times New Roman;Times;Serif" w:hAnsi="Times New Roman;Times;Serif"/>
                <w:b w:val="false"/>
                <w:i/>
                <w:caps w:val="false"/>
                <w:smallCaps w:val="false"/>
                <w:sz w:val="20"/>
              </w:rPr>
              <w:t>Assignment</w:t>
            </w:r>
            <w:r>
              <w:rPr>
                <w:rFonts w:ascii="Times New Roman;Times;Serif" w:hAnsi="Times New Roman;Times;Serif"/>
                <w:b w:val="false"/>
                <w:i w:val="false"/>
                <w:caps w:val="false"/>
                <w:smallCaps w:val="false"/>
                <w:sz w:val="20"/>
              </w:rPr>
              <w:t>) of the Share Sale Agreement, the EIB shall have the right to assign all of part of its rights under the Share Sale Agreement or this Joinder to any of its Affiliates.</w:t>
            </w:r>
          </w:p>
        </w:tc>
      </w:tr>
      <w:tr>
        <w:trPr/>
        <w:tc>
          <w:tcPr>
            <w:tcW w:w="395" w:type="dxa"/>
            <w:tcBorders/>
            <w:vAlign w:val="center"/>
          </w:tcPr>
          <w:p>
            <w:pPr>
              <w:pStyle w:val="TableContents"/>
              <w:bidi w:val="0"/>
              <w:spacing w:before="0" w:after="283"/>
              <w:jc w:val="left"/>
              <w:rPr>
                <w:caps w:val="false"/>
                <w:smallCaps w:val="false"/>
              </w:rPr>
            </w:pPr>
            <w:r>
              <w:rPr>
                <w:caps w:val="false"/>
                <w:smallCaps w:val="false"/>
              </w:rPr>
              <w:t> </w:t>
            </w:r>
          </w:p>
        </w:tc>
        <w:tc>
          <w:tcPr>
            <w:tcW w:w="981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9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w:t>
            </w:r>
          </w:p>
        </w:tc>
        <w:tc>
          <w:tcPr>
            <w:tcW w:w="981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Additional representations and warranties of the Purchaser</w:t>
            </w:r>
          </w:p>
        </w:tc>
      </w:tr>
      <w:tr>
        <w:trPr/>
        <w:tc>
          <w:tcPr>
            <w:tcW w:w="395" w:type="dxa"/>
            <w:tcBorders/>
            <w:vAlign w:val="center"/>
          </w:tcPr>
          <w:p>
            <w:pPr>
              <w:pStyle w:val="TableContents"/>
              <w:bidi w:val="0"/>
              <w:spacing w:before="0" w:after="283"/>
              <w:jc w:val="left"/>
              <w:rPr>
                <w:caps w:val="false"/>
                <w:smallCaps w:val="false"/>
              </w:rPr>
            </w:pPr>
            <w:r>
              <w:rPr>
                <w:caps w:val="false"/>
                <w:smallCaps w:val="false"/>
              </w:rPr>
              <w:t> </w:t>
            </w:r>
          </w:p>
        </w:tc>
        <w:tc>
          <w:tcPr>
            <w:tcW w:w="981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9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10.1</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material inducement to the EIB to enter into this Joinder Agreement and to consummate the Transactions, the Purchaser represents and warrants to the EIB with respect to the Purchaser that the representations and warranties set forth in this paragraph 9 10 are true and accurate as at the date hereof and as of the Closing Date: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79"/>
        <w:gridCol w:w="9851"/>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7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985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source of funds for the purchase of the Sold Securities pursuant to the Share Sale Agreement will not represent proceeds derived from any activities violating any applicable Sanctions;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79" w:type="dxa"/>
            <w:tcBorders/>
            <w:vAlign w:val="center"/>
          </w:tcPr>
          <w:p>
            <w:pPr>
              <w:pStyle w:val="TableContents"/>
              <w:bidi w:val="0"/>
              <w:spacing w:before="0" w:after="283"/>
              <w:jc w:val="left"/>
              <w:rPr>
                <w:caps w:val="false"/>
                <w:smallCaps w:val="false"/>
              </w:rPr>
            </w:pPr>
            <w:r>
              <w:rPr>
                <w:caps w:val="false"/>
                <w:smallCaps w:val="false"/>
              </w:rPr>
              <w:t> </w:t>
            </w:r>
          </w:p>
        </w:tc>
        <w:tc>
          <w:tcPr>
            <w:tcW w:w="9851"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7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985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the Purchaser, nor to the Purchaser’s knowledge, any of its beneficial owners: (a) are subject to any Sanctions; or (b) has been notified that it is under investigation by any Governmental Authority for money laundering, bribery, corruption and other related financial crimes or violations of any Sanctions;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79" w:type="dxa"/>
            <w:tcBorders/>
            <w:vAlign w:val="center"/>
          </w:tcPr>
          <w:p>
            <w:pPr>
              <w:pStyle w:val="TableContents"/>
              <w:bidi w:val="0"/>
              <w:spacing w:before="0" w:after="283"/>
              <w:jc w:val="left"/>
              <w:rPr>
                <w:caps w:val="false"/>
                <w:smallCaps w:val="false"/>
              </w:rPr>
            </w:pPr>
            <w:r>
              <w:rPr>
                <w:caps w:val="false"/>
                <w:smallCaps w:val="false"/>
              </w:rPr>
              <w:t> </w:t>
            </w:r>
          </w:p>
        </w:tc>
        <w:tc>
          <w:tcPr>
            <w:tcW w:w="9851"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7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w:t>
            </w:r>
          </w:p>
        </w:tc>
        <w:tc>
          <w:tcPr>
            <w:tcW w:w="985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Purchaser is not established or incorporated in a Non-Compliant Jurisdiction;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79" w:type="dxa"/>
            <w:tcBorders/>
            <w:vAlign w:val="center"/>
          </w:tcPr>
          <w:p>
            <w:pPr>
              <w:pStyle w:val="TableContents"/>
              <w:bidi w:val="0"/>
              <w:spacing w:before="0" w:after="283"/>
              <w:jc w:val="left"/>
              <w:rPr>
                <w:caps w:val="false"/>
                <w:smallCaps w:val="false"/>
              </w:rPr>
            </w:pPr>
            <w:r>
              <w:rPr>
                <w:caps w:val="false"/>
                <w:smallCaps w:val="false"/>
              </w:rPr>
              <w:t> </w:t>
            </w:r>
          </w:p>
        </w:tc>
        <w:tc>
          <w:tcPr>
            <w:tcW w:w="9851"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7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w:t>
            </w:r>
          </w:p>
        </w:tc>
        <w:tc>
          <w:tcPr>
            <w:tcW w:w="985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monies used to fund the investment in the Sold Securities pursuant to this agreement have not been or will not be derived from or related to any illegal activities, including but not limited to, money laundering activities and the proceeds from the Purchaser’s investment in the Sold Securities will not be used to finance any illegal activities.</w:t>
            </w:r>
          </w:p>
        </w:tc>
      </w:tr>
    </w:tbl>
    <w:p>
      <w:pPr>
        <w:pStyle w:val="TextBody"/>
        <w:bidi w:val="0"/>
        <w:spacing w:before="0" w:after="0"/>
        <w:ind w:left="1360" w:right="0" w:hanging="0"/>
        <w:jc w:val="both"/>
        <w:rPr>
          <w:caps w:val="false"/>
          <w:smallCaps w:val="false"/>
        </w:rPr>
      </w:pPr>
      <w:r>
        <w:rPr>
          <w:caps w:val="false"/>
          <w:smallCaps w:val="false"/>
        </w:rPr>
        <w:t> </w:t>
      </w:r>
    </w:p>
    <w:tbl>
      <w:tblPr>
        <w:tblW w:w="3295" w:type="dxa"/>
        <w:jc w:val="left"/>
        <w:tblInd w:w="0" w:type="dxa"/>
        <w:tblLayout w:type="fixed"/>
        <w:tblCellMar>
          <w:top w:w="0" w:type="dxa"/>
          <w:left w:w="0" w:type="dxa"/>
          <w:bottom w:w="0" w:type="dxa"/>
          <w:right w:w="0" w:type="dxa"/>
        </w:tblCellMar>
      </w:tblPr>
      <w:tblGrid>
        <w:gridCol w:w="395"/>
        <w:gridCol w:w="2900"/>
      </w:tblGrid>
      <w:tr>
        <w:trPr/>
        <w:tc>
          <w:tcPr>
            <w:tcW w:w="39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10.2</w:t>
            </w:r>
          </w:p>
        </w:tc>
        <w:tc>
          <w:tcPr>
            <w:tcW w:w="29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purposes of paragraph 10.1:</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i w:val="false"/>
          <w:caps w:val="false"/>
          <w:smallCaps w:val="false"/>
          <w:sz w:val="20"/>
        </w:rPr>
        <w:t>Governmental Authority</w:t>
      </w:r>
      <w:r>
        <w:rPr>
          <w:rFonts w:ascii="Times New Roman;Times;Serif" w:hAnsi="Times New Roman;Times;Serif"/>
          <w:b w:val="false"/>
          <w:i w:val="false"/>
          <w:caps w:val="false"/>
          <w:smallCaps w:val="false"/>
          <w:sz w:val="20"/>
        </w:rPr>
        <w:t>” means any government, federal, state, municipality, regional or local authority, body or official;</w:t>
      </w:r>
    </w:p>
    <w:p>
      <w:pPr>
        <w:pStyle w:val="TextBody"/>
        <w:bidi w:val="0"/>
        <w:spacing w:before="0" w:after="0"/>
        <w:ind w:left="0" w:right="0" w:hanging="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i w:val="false"/>
          <w:caps w:val="false"/>
          <w:smallCaps w:val="false"/>
          <w:sz w:val="20"/>
        </w:rPr>
        <w:t>Non-Compliant Jurisdiction</w:t>
      </w:r>
      <w:r>
        <w:rPr>
          <w:rFonts w:ascii="Times New Roman;Times;Serif" w:hAnsi="Times New Roman;Times;Serif"/>
          <w:b w:val="false"/>
          <w:i w:val="false"/>
          <w:caps w:val="false"/>
          <w:smallCaps w:val="false"/>
          <w:sz w:val="20"/>
        </w:rPr>
        <w:t>” means a jurisdiction (1) listed in the Annex I of the European Council conclusions on the revised EU list of non-cooperative jurisdictions for tax purposes, or (2) included in the OECD/G20 list of jurisdictions that have not satisfactorily implemented the tax transparency standards, or (3) listed in the Annex of the Commission Delegated Regulation (EU) 2016/1675 of 14 July 2016 supplementing Directive (EU) 2015/849 of the European Parliament and of the Council of 20 May 2015 (on the prevention of the use of the financial system for the purposes of money laundering or terrorist financing, as amended by Directive (EU) 2018/843 of the European Parliament and of the Council of 30 May 2018, and as further amended, supplemented or restated) by identifying high-risk third countries with strategic deficiencies, or (4) rated as “partially compliant” or “non-compliant”, including corresponding provisional ratings, by the Organisation for Economic Cooperation and Development and its Global Forum on Transparency and Exchange of Information for Tax Purposes against the international standard on exchange of information on request, or (5) included in the Financial Action Task Force statement “High risk Jurisdictions subject to a Call for Action”, or (6) included in the Financial Action Task Force statement “Jurisdictions under Increased Monitoring”, in each case as such statement, list, directive or annex may be amended and/or supplemented from time to time;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i w:val="false"/>
          <w:caps w:val="false"/>
          <w:smallCaps w:val="false"/>
          <w:sz w:val="20"/>
        </w:rPr>
        <w:t>Sanctions</w:t>
      </w:r>
      <w:r>
        <w:rPr>
          <w:rFonts w:ascii="Times New Roman;Times;Serif" w:hAnsi="Times New Roman;Times;Serif"/>
          <w:b w:val="false"/>
          <w:i w:val="false"/>
          <w:caps w:val="false"/>
          <w:smallCaps w:val="false"/>
          <w:sz w:val="20"/>
        </w:rPr>
        <w:t>” means the economic or financial sanctions laws, regulations, trade embargoes or other restrictive measures (including, in particular, but not limited to, measures in relation to the financing of terrorism) enacted, administered, implemented or enforced from time to time by any of (i) the United Nations, including, inter alia, the United Nations Security Council, (ii) the European Union, including, inter alia, the Council of the European Union and the European Commission, and any other competent bodies/institutions or agencies of the European Union, (iii) the government of the United States of America and any department, division, agency, or office thereof, including, inter alia, the Office of Foreign Asset Control (OFAC) of the United States Department of the Treasury, the United States Department of State and/or the United States Department of Commerce, and (iv) the government of the United Kingdom, and any department, division, agency, office or authority, including, inter alia, the Office of Financial Sanctions Implementation of His Majesty’s Treasury and the Department for International Trade of the United Kingdom.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EIB’s obligations under this Joinder Agreement are conditional upon the Purchaser’s representations and warranties set out in this paragraph 10 being true and accurate and as of the date hereof and as of the Closing Date.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10.3</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Upon issuance, the Purchaser Warrants issued as Upfront Stock Consideration or in respect of Earnout Consideration will be duly authorized, validly issued, fully paid and non-assessable and will not be subject to any option, call, preemptive, subscription or similar rights or Encumbrances, other than restrictions on transfer imposed by state and federal securities Laws or the Resale Organization Agreement. The shares of Purchaser Common Stock issuable pursuant to the Purchaser Warrants have been duly authorized, and, assuming the due exercise of, including payment of the exercise price under, will, upon issuance, be validly issued, fully paid and non-assessable and will not be subject to any option, call, preemptive, subscription or similar rights or Encumbrances, other than restrictions on transfer imposed by state and federal securities Laws or the Resale Organization Agreement. </w:t>
            </w:r>
          </w:p>
        </w:tc>
      </w:tr>
      <w:tr>
        <w:trPr/>
        <w:tc>
          <w:tcPr>
            <w:tcW w:w="395" w:type="dxa"/>
            <w:tcBorders/>
            <w:vAlign w:val="center"/>
          </w:tcPr>
          <w:p>
            <w:pPr>
              <w:pStyle w:val="TableContents"/>
              <w:bidi w:val="0"/>
              <w:spacing w:before="0" w:after="283"/>
              <w:jc w:val="left"/>
              <w:rPr>
                <w:caps w:val="false"/>
                <w:smallCaps w:val="false"/>
              </w:rPr>
            </w:pPr>
            <w:r>
              <w:rPr>
                <w:caps w:val="false"/>
                <w:smallCaps w:val="false"/>
              </w:rPr>
              <w:t> </w:t>
            </w:r>
          </w:p>
        </w:tc>
        <w:tc>
          <w:tcPr>
            <w:tcW w:w="981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9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w:t>
            </w:r>
          </w:p>
        </w:tc>
        <w:tc>
          <w:tcPr>
            <w:tcW w:w="981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NYSE American Listing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Purchaser shall use its reasonable best efforts to cause any shares of Purchaser Common Stock issued upon exercise of the Purchaser Warrants to be approved for supplementary listing on the NYSE American promptly following the date of such issuance, unless such shares have already been approved for supplementary listing on the NYSE American. Venue and Jurisdiction</w:t>
      </w:r>
    </w:p>
    <w:p>
      <w:pPr>
        <w:pStyle w:val="TextBody"/>
        <w:bidi w:val="0"/>
        <w:spacing w:before="0" w:after="0"/>
        <w:ind w:left="0" w:right="0" w:hanging="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6</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Section 10.10 (</w:t>
      </w:r>
      <w:r>
        <w:rPr>
          <w:rFonts w:ascii="Times New Roman;Times;Serif" w:hAnsi="Times New Roman;Times;Serif"/>
          <w:b w:val="false"/>
          <w:i/>
          <w:caps w:val="false"/>
          <w:smallCaps w:val="false"/>
          <w:sz w:val="20"/>
        </w:rPr>
        <w:t>Venue and Jurisdiction</w:t>
      </w:r>
      <w:r>
        <w:rPr>
          <w:rFonts w:ascii="Times New Roman;Times;Serif" w:hAnsi="Times New Roman;Times;Serif"/>
          <w:b w:val="false"/>
          <w:i w:val="false"/>
          <w:caps w:val="false"/>
          <w:smallCaps w:val="false"/>
          <w:sz w:val="20"/>
        </w:rPr>
        <w:t>) of the Share Sale Agreement, any Proceeding or other legal action relating to this Joinder Agreement or the enforcement of any provision hereof must be brought or otherwise commenced in the Court of Chancery of the State of Delaware; provided further that if jurisdiction is not then available in the Court of Chancery of the State of Delaware, then any such legal action or Proceeding may be brought in any federal court located in the State of Delaware or any other Delaware state court. Each Party:</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74"/>
        <w:gridCol w:w="9856"/>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7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985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expressly and irrevocably consents and submits to the exclusive jurisdiction of the aforesaid courts in connection with any such Proceeding;</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74" w:type="dxa"/>
            <w:tcBorders/>
            <w:vAlign w:val="center"/>
          </w:tcPr>
          <w:p>
            <w:pPr>
              <w:pStyle w:val="TableContents"/>
              <w:bidi w:val="0"/>
              <w:spacing w:before="0" w:after="283"/>
              <w:jc w:val="left"/>
              <w:rPr>
                <w:caps w:val="false"/>
                <w:smallCaps w:val="false"/>
              </w:rPr>
            </w:pPr>
            <w:r>
              <w:rPr>
                <w:caps w:val="false"/>
                <w:smallCaps w:val="false"/>
              </w:rPr>
              <w:t> </w:t>
            </w:r>
          </w:p>
        </w:tc>
        <w:tc>
          <w:tcPr>
            <w:tcW w:w="985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7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985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agrees that each state and federal court located in the State of Delaware will be deemed to be a convenient forum;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74" w:type="dxa"/>
            <w:tcBorders/>
            <w:vAlign w:val="center"/>
          </w:tcPr>
          <w:p>
            <w:pPr>
              <w:pStyle w:val="TableContents"/>
              <w:bidi w:val="0"/>
              <w:spacing w:before="0" w:after="283"/>
              <w:jc w:val="left"/>
              <w:rPr>
                <w:caps w:val="false"/>
                <w:smallCaps w:val="false"/>
              </w:rPr>
            </w:pPr>
            <w:r>
              <w:rPr>
                <w:caps w:val="false"/>
                <w:smallCaps w:val="false"/>
              </w:rPr>
              <w:t> </w:t>
            </w:r>
          </w:p>
        </w:tc>
        <w:tc>
          <w:tcPr>
            <w:tcW w:w="985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7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w:t>
            </w:r>
          </w:p>
        </w:tc>
        <w:tc>
          <w:tcPr>
            <w:tcW w:w="985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agrees not to assert (by way of motion, as a defense or otherwise), in any such Proceeding commenced in any state or federal court located in the State of Delaware, any claim that such Party is not subject personally to the jurisdiction of such court, that such Proceeding has been brought in an inconvenient forum, that the venue of such Proceeding is improper or that this Agreement or the subject matter of this Agreement may not be enforced in or by such court.</w:t>
            </w:r>
          </w:p>
        </w:tc>
      </w:tr>
    </w:tbl>
    <w:p>
      <w:pPr>
        <w:pStyle w:val="TextBody"/>
        <w:bidi w:val="0"/>
        <w:spacing w:before="0" w:after="0"/>
        <w:ind w:left="136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WAIVER OF JURY TRIAL. EACH OF THE PARTIES HEREBY IRREVOCABLY WAIVES TO THE FULLEST EXTENT PERMITTED BY APPLICABLE LAW ALL RIGHT TO TRIAL BY JURY AND ANY ACTION, PROCEEDING OR COUNTERCLAIM (WHETHER BASED ON CONTRACT, TORT, OR OTHERWISE) ARISING OUT OF OR RELATING TO THIS AGREEMENT OR THE ACTIONS OF ANY PARTY IN NEGOTIATION, ADMINISTRATION, PERFORMANCE OR ENFORCEMENT TO THIS AGREEMENT. EACH PARTY (i) CERTIFIES THAT NO REPRESENTATIVE, AGENT OR ATTORNEY OF ANY OTHER PARTY HAS REPRESENTED, EXPRESSLY OR OTHERWISE, THAT SUCH OTHER PARTY WOULD NOT, IN THE EVENT OF LITIGATION, SEEK TO ENFORCE THE FOREGOING WAIVER; (ii) UNDERSTANDS AND HAS CONSIDERED THE IMPLICATIONS OF THIS WAIVER; (iii) MAKES THIS WAIVER VOLUNTARILY; AND (iv) ACKNOWLEDGES THAT IT AND THE OTHER PARTIES HAVE BEEN INDUCED TO ENTER INTO THIS AGREEMENT BY, AMONG OTHER THINGS, THE MUTUAL WAIVERS AND CERTIFICATIONS IN THIS SECTION 12.</w:t>
      </w:r>
    </w:p>
    <w:p>
      <w:pPr>
        <w:pStyle w:val="TextBody"/>
        <w:bidi w:val="0"/>
        <w:spacing w:before="0" w:after="0"/>
        <w:ind w:left="0" w:right="0" w:hanging="0"/>
        <w:jc w:val="left"/>
        <w:rPr>
          <w:caps w:val="false"/>
          <w:smallCaps w:val="false"/>
        </w:rPr>
      </w:pPr>
      <w:r>
        <w:rPr>
          <w:caps w:val="false"/>
          <w:smallCaps w:val="false"/>
        </w:rPr>
        <w:t> </w:t>
      </w:r>
    </w:p>
    <w:tbl>
      <w:tblPr>
        <w:tblW w:w="1480" w:type="dxa"/>
        <w:jc w:val="left"/>
        <w:tblInd w:w="0" w:type="dxa"/>
        <w:tblLayout w:type="fixed"/>
        <w:tblCellMar>
          <w:top w:w="0" w:type="dxa"/>
          <w:left w:w="0" w:type="dxa"/>
          <w:bottom w:w="0" w:type="dxa"/>
          <w:right w:w="0" w:type="dxa"/>
        </w:tblCellMar>
      </w:tblPr>
      <w:tblGrid>
        <w:gridCol w:w="245"/>
        <w:gridCol w:w="1235"/>
      </w:tblGrid>
      <w:tr>
        <w:trPr/>
        <w:tc>
          <w:tcPr>
            <w:tcW w:w="2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w:t>
            </w:r>
          </w:p>
        </w:tc>
        <w:tc>
          <w:tcPr>
            <w:tcW w:w="123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Miscellaneous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provisions of Sections 9.1 (</w:t>
      </w:r>
      <w:r>
        <w:rPr>
          <w:rFonts w:ascii="Times New Roman;Times;Serif" w:hAnsi="Times New Roman;Times;Serif"/>
          <w:b w:val="false"/>
          <w:i/>
          <w:caps w:val="false"/>
          <w:smallCaps w:val="false"/>
          <w:sz w:val="20"/>
        </w:rPr>
        <w:t>Termination</w:t>
      </w:r>
      <w:r>
        <w:rPr>
          <w:rFonts w:ascii="Times New Roman;Times;Serif" w:hAnsi="Times New Roman;Times;Serif"/>
          <w:b w:val="false"/>
          <w:i w:val="false"/>
          <w:caps w:val="false"/>
          <w:smallCaps w:val="false"/>
          <w:sz w:val="20"/>
        </w:rPr>
        <w:t>), 9.2 (</w:t>
      </w:r>
      <w:r>
        <w:rPr>
          <w:rFonts w:ascii="Times New Roman;Times;Serif" w:hAnsi="Times New Roman;Times;Serif"/>
          <w:b w:val="false"/>
          <w:i/>
          <w:caps w:val="false"/>
          <w:smallCaps w:val="false"/>
          <w:sz w:val="20"/>
        </w:rPr>
        <w:t>Effect of Termination</w:t>
      </w:r>
      <w:r>
        <w:rPr>
          <w:rFonts w:ascii="Times New Roman;Times;Serif" w:hAnsi="Times New Roman;Times;Serif"/>
          <w:b w:val="false"/>
          <w:i w:val="false"/>
          <w:caps w:val="false"/>
          <w:smallCaps w:val="false"/>
          <w:sz w:val="20"/>
        </w:rPr>
        <w:t>), 10.5 (</w:t>
      </w:r>
      <w:r>
        <w:rPr>
          <w:rFonts w:ascii="Times New Roman;Times;Serif" w:hAnsi="Times New Roman;Times;Serif"/>
          <w:b w:val="false"/>
          <w:i/>
          <w:caps w:val="false"/>
          <w:smallCaps w:val="false"/>
          <w:sz w:val="20"/>
        </w:rPr>
        <w:t>Notice</w:t>
      </w:r>
      <w:r>
        <w:rPr>
          <w:rFonts w:ascii="Times New Roman;Times;Serif" w:hAnsi="Times New Roman;Times;Serif"/>
          <w:b w:val="false"/>
          <w:i w:val="false"/>
          <w:caps w:val="false"/>
          <w:smallCaps w:val="false"/>
          <w:sz w:val="20"/>
        </w:rPr>
        <w:t>), 10.6 (</w:t>
      </w:r>
      <w:r>
        <w:rPr>
          <w:rFonts w:ascii="Times New Roman;Times;Serif" w:hAnsi="Times New Roman;Times;Serif"/>
          <w:b w:val="false"/>
          <w:i/>
          <w:caps w:val="false"/>
          <w:smallCaps w:val="false"/>
          <w:sz w:val="20"/>
        </w:rPr>
        <w:t>Counterparts</w:t>
      </w:r>
      <w:r>
        <w:rPr>
          <w:rFonts w:ascii="Times New Roman;Times;Serif" w:hAnsi="Times New Roman;Times;Serif"/>
          <w:b w:val="false"/>
          <w:i w:val="false"/>
          <w:caps w:val="false"/>
          <w:smallCaps w:val="false"/>
          <w:sz w:val="20"/>
        </w:rPr>
        <w:t>), 10.8 (</w:t>
      </w:r>
      <w:r>
        <w:rPr>
          <w:rFonts w:ascii="Times New Roman;Times;Serif" w:hAnsi="Times New Roman;Times;Serif"/>
          <w:b w:val="false"/>
          <w:i/>
          <w:caps w:val="false"/>
          <w:smallCaps w:val="false"/>
          <w:sz w:val="20"/>
        </w:rPr>
        <w:t>Severability</w:t>
      </w:r>
      <w:r>
        <w:rPr>
          <w:rFonts w:ascii="Times New Roman;Times;Serif" w:hAnsi="Times New Roman;Times;Serif"/>
          <w:b w:val="false"/>
          <w:i w:val="false"/>
          <w:caps w:val="false"/>
          <w:smallCaps w:val="false"/>
          <w:sz w:val="20"/>
        </w:rPr>
        <w:t>), 10.9 (</w:t>
      </w:r>
      <w:r>
        <w:rPr>
          <w:rFonts w:ascii="Times New Roman;Times;Serif" w:hAnsi="Times New Roman;Times;Serif"/>
          <w:b w:val="false"/>
          <w:i/>
          <w:caps w:val="false"/>
          <w:smallCaps w:val="false"/>
          <w:sz w:val="20"/>
        </w:rPr>
        <w:t>Governing Law</w:t>
      </w:r>
      <w:r>
        <w:rPr>
          <w:rFonts w:ascii="Times New Roman;Times;Serif" w:hAnsi="Times New Roman;Times;Serif"/>
          <w:b w:val="false"/>
          <w:i w:val="false"/>
          <w:caps w:val="false"/>
          <w:smallCaps w:val="false"/>
          <w:sz w:val="20"/>
        </w:rPr>
        <w:t>) and 10.12 (Enforcement), of the Share Sale Agreement shall be incorporated by reference herein and apply mutatis mutandis, as if stated in full herein.</w:t>
      </w:r>
    </w:p>
    <w:p>
      <w:pPr>
        <w:pStyle w:val="TextBody"/>
        <w:bidi w:val="0"/>
        <w:spacing w:before="0" w:after="0"/>
        <w:ind w:left="0" w:right="0" w:hanging="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7</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each of the parties hereto have executed this Joinder Agreement as of the date first written above.</w:t>
      </w:r>
    </w:p>
    <w:p>
      <w:pPr>
        <w:pStyle w:val="TextBody"/>
        <w:bidi w:val="0"/>
        <w:spacing w:before="0" w:after="0"/>
        <w:ind w:left="0" w:right="0" w:hanging="0"/>
        <w:jc w:val="both"/>
        <w:rPr>
          <w:caps w:val="false"/>
          <w:smallCaps w:val="false"/>
        </w:rPr>
      </w:pPr>
      <w:r>
        <w:rPr>
          <w:caps w:val="false"/>
          <w:smallCaps w:val="false"/>
        </w:rPr>
        <w:t> </w:t>
      </w:r>
    </w:p>
    <w:tbl>
      <w:tblPr>
        <w:tblW w:w="2795" w:type="dxa"/>
        <w:jc w:val="left"/>
        <w:tblInd w:w="0" w:type="dxa"/>
        <w:tblLayout w:type="fixed"/>
        <w:tblCellMar>
          <w:top w:w="0" w:type="dxa"/>
          <w:left w:w="0" w:type="dxa"/>
          <w:bottom w:w="28" w:type="dxa"/>
          <w:right w:w="0" w:type="dxa"/>
        </w:tblCellMar>
      </w:tblPr>
      <w:tblGrid>
        <w:gridCol w:w="2720"/>
        <w:gridCol w:w="75"/>
      </w:tblGrid>
      <w:tr>
        <w:trPr/>
        <w:tc>
          <w:tcPr>
            <w:tcW w:w="2720"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Steve Wagner</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720" w:type="dxa"/>
            <w:tcBorders/>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European Investment Bank</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72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Represented by Steve WAGNER </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tbl>
      <w:tblPr>
        <w:tblW w:w="4490" w:type="dxa"/>
        <w:jc w:val="left"/>
        <w:tblInd w:w="0" w:type="dxa"/>
        <w:tblLayout w:type="fixed"/>
        <w:tblCellMar>
          <w:top w:w="0" w:type="dxa"/>
          <w:left w:w="0" w:type="dxa"/>
          <w:bottom w:w="28" w:type="dxa"/>
          <w:right w:w="0" w:type="dxa"/>
        </w:tblCellMar>
      </w:tblPr>
      <w:tblGrid>
        <w:gridCol w:w="4415"/>
        <w:gridCol w:w="75"/>
      </w:tblGrid>
      <w:tr>
        <w:trPr/>
        <w:tc>
          <w:tcPr>
            <w:tcW w:w="4415"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Nona Catalina Cernov-Vivirschi</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415" w:type="dxa"/>
            <w:tcBorders/>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European Investment Bank</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41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Represented by Nona Catalina CERNOV- VIVIRSCHI</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41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415"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Philippe Bencteux</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415" w:type="dxa"/>
            <w:tcBorders/>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Philippe Bencteux</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41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415"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Pierre-Emmanuel Struyven</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415" w:type="dxa"/>
            <w:tcBorders/>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Supernova Invest</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41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Represented by Pierre-Emmanuel Struyven</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41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415"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David Fischel</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415" w:type="dxa"/>
            <w:tcBorders/>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Stereotaxis</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41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Represented by David Fischel </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8</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bookmarkStart w:id="18" w:name="ex4-3.htm"/>
      <w:bookmarkStart w:id="19" w:name="ksex43"/>
      <w:bookmarkEnd w:id="18"/>
      <w:bookmarkEnd w:id="19"/>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4.3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NEITHER THIS SECURITY NOR THE SECURITIES FOR WHICH THIS SECURITY IS EXERCISABLE HAVE BEEN REGISTERED WITH THE SECURITIES AND EXCHANGE COMMISSION OR THE SECURITIES COMMISSION OF ANY STATE IN RELIANCE UPON AN EXEMPTION FROM REGISTRATION UNDER THE SECURITIES ACT OF 1933, AS AMENDED (THE </w:t>
      </w: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SECURITIES ACT</w:t>
      </w: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 AND, ACCORDINGLY, MAY NOT BE OFFERED OR SOLD EXCEPT PURSUANT TO AN EFFECTIVE REGISTRATION STATEMENT UNDER THE SECURITIES ACT OR PURSUANT TO AN AVAILABLE EXEMPTION FROM, OR IN A TRANSACTION NOT SUBJECT TO, THE REGISTRATION REQUIREMENTS OF THE SECURITIES ACT AND IN ACCORDANCE WITH APPLICABLE STATE SECURITIES LAWS. THIS SECURITY HAS BEEN ISSUED IN RELIANCE UPON REGULATION S PROMULGATED UNDER THE SECURITIES ACT. THIS SECURITY MAY NOT BE EXERCISED BY OR ON BEHALF OF A U.S. PERSON (AS DEFINED IN REGULATION S) UNLESS THE SECURITIES ISSUABLE UPON EXERCISE THEREOF HAVE BEEN REGISTERED UNDER THE SECURITIES ACT OR AN EXEMPTION FROM SUCH REGISTRATION IS AVAILABLE.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 PRE-FUNDED WARRANT TO PURCHASE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STEREOTAXIS, INC.</w:t>
      </w:r>
    </w:p>
    <w:p>
      <w:pPr>
        <w:pStyle w:val="TextBody"/>
        <w:bidi w:val="0"/>
        <w:spacing w:before="0" w:after="0"/>
        <w:ind w:left="0" w:right="0" w:hanging="0"/>
        <w:jc w:val="both"/>
        <w:rPr>
          <w:caps w:val="false"/>
          <w:smallCaps w:val="false"/>
        </w:rPr>
      </w:pPr>
      <w:r>
        <w:rPr>
          <w:caps w:val="false"/>
          <w:smallCaps w:val="false"/>
        </w:rPr>
        <w:t> </w:t>
      </w:r>
    </w:p>
    <w:tbl>
      <w:tblPr>
        <w:tblW w:w="4150" w:type="dxa"/>
        <w:jc w:val="left"/>
        <w:tblInd w:w="0" w:type="dxa"/>
        <w:tblLayout w:type="fixed"/>
        <w:tblCellMar>
          <w:top w:w="0" w:type="dxa"/>
          <w:left w:w="0" w:type="dxa"/>
          <w:bottom w:w="0" w:type="dxa"/>
          <w:right w:w="0" w:type="dxa"/>
        </w:tblCellMar>
      </w:tblPr>
      <w:tblGrid>
        <w:gridCol w:w="1880"/>
        <w:gridCol w:w="2270"/>
      </w:tblGrid>
      <w:tr>
        <w:trPr/>
        <w:tc>
          <w:tcPr>
            <w:tcW w:w="18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Warrant Shares: [         ]</w:t>
            </w:r>
          </w:p>
        </w:tc>
        <w:tc>
          <w:tcPr>
            <w:tcW w:w="22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Initial Exercise Date: [        ]</w:t>
            </w:r>
          </w:p>
        </w:tc>
      </w:tr>
      <w:tr>
        <w:trPr/>
        <w:tc>
          <w:tcPr>
            <w:tcW w:w="1880" w:type="dxa"/>
            <w:tcBorders/>
            <w:vAlign w:val="center"/>
          </w:tcPr>
          <w:p>
            <w:pPr>
              <w:pStyle w:val="TableContents"/>
              <w:bidi w:val="0"/>
              <w:spacing w:before="0" w:after="283"/>
              <w:jc w:val="left"/>
              <w:rPr>
                <w:caps w:val="false"/>
                <w:smallCaps w:val="false"/>
              </w:rPr>
            </w:pPr>
            <w:r>
              <w:rPr>
                <w:caps w:val="false"/>
                <w:smallCaps w:val="false"/>
              </w:rPr>
              <w:t> </w:t>
            </w:r>
          </w:p>
        </w:tc>
        <w:tc>
          <w:tcPr>
            <w:tcW w:w="22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Issuance Date: [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THIS PRE-FUNDED WARRANT TO PURCHASE COMMON STOCK</w:t>
      </w:r>
      <w:r>
        <w:rPr>
          <w:rFonts w:ascii="Times New Roman;Times;Serif" w:hAnsi="Times New Roman;Times;Serif"/>
          <w:b w:val="false"/>
          <w:i w:val="false"/>
          <w:caps w:val="false"/>
          <w:smallCaps w:val="false"/>
          <w:sz w:val="20"/>
        </w:rPr>
        <w:t xml:space="preserve"> (the “</w:t>
      </w:r>
      <w:r>
        <w:rPr>
          <w:rFonts w:ascii="Times New Roman;Times;Serif" w:hAnsi="Times New Roman;Times;Serif"/>
          <w:b/>
          <w:i w:val="false"/>
          <w:caps w:val="false"/>
          <w:smallCaps w:val="false"/>
          <w:sz w:val="20"/>
          <w:u w:val="single"/>
        </w:rPr>
        <w:t>Warrant</w:t>
      </w:r>
      <w:r>
        <w:rPr>
          <w:rFonts w:ascii="Times New Roman;Times;Serif" w:hAnsi="Times New Roman;Times;Serif"/>
          <w:b w:val="false"/>
          <w:i w:val="false"/>
          <w:caps w:val="false"/>
          <w:smallCaps w:val="false"/>
          <w:sz w:val="20"/>
        </w:rPr>
        <w:t>”) certifies that, for value received, ___________, a __________ or its assigns (the “</w:t>
      </w:r>
      <w:r>
        <w:rPr>
          <w:rFonts w:ascii="Times New Roman;Times;Serif" w:hAnsi="Times New Roman;Times;Serif"/>
          <w:b/>
          <w:i w:val="false"/>
          <w:caps w:val="false"/>
          <w:smallCaps w:val="false"/>
          <w:sz w:val="20"/>
          <w:u w:val="single"/>
        </w:rPr>
        <w:t>Holder</w:t>
      </w:r>
      <w:r>
        <w:rPr>
          <w:rFonts w:ascii="Times New Roman;Times;Serif" w:hAnsi="Times New Roman;Times;Serif"/>
          <w:b w:val="false"/>
          <w:i w:val="false"/>
          <w:caps w:val="false"/>
          <w:smallCaps w:val="false"/>
          <w:sz w:val="20"/>
        </w:rPr>
        <w:t>”) is entitled, upon the terms and subject to the limitations on exercise and the conditions hereinafter set forth, at any time until this Warrant is exercised in full but in no event later than the fifth (5</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anniversary of the Issuance Date set forth above (the “</w:t>
      </w:r>
      <w:r>
        <w:rPr>
          <w:rFonts w:ascii="Times New Roman;Times;Serif" w:hAnsi="Times New Roman;Times;Serif"/>
          <w:b/>
          <w:i w:val="false"/>
          <w:caps w:val="false"/>
          <w:smallCaps w:val="false"/>
          <w:sz w:val="20"/>
          <w:u w:val="single"/>
        </w:rPr>
        <w:t>Termination Date</w:t>
      </w:r>
      <w:r>
        <w:rPr>
          <w:rFonts w:ascii="Times New Roman;Times;Serif" w:hAnsi="Times New Roman;Times;Serif"/>
          <w:b w:val="false"/>
          <w:i w:val="false"/>
          <w:caps w:val="false"/>
          <w:smallCaps w:val="false"/>
          <w:sz w:val="20"/>
        </w:rPr>
        <w:t>”), to subscribe for and purchase from Stereotaxis, Inc., a Delaware corporation (the “</w:t>
      </w:r>
      <w:r>
        <w:rPr>
          <w:rFonts w:ascii="Times New Roman;Times;Serif" w:hAnsi="Times New Roman;Times;Serif"/>
          <w:b/>
          <w:i w:val="false"/>
          <w:caps w:val="false"/>
          <w:smallCaps w:val="false"/>
          <w:sz w:val="20"/>
          <w:u w:val="single"/>
        </w:rPr>
        <w:t>Company</w:t>
      </w:r>
      <w:r>
        <w:rPr>
          <w:rFonts w:ascii="Times New Roman;Times;Serif" w:hAnsi="Times New Roman;Times;Serif"/>
          <w:b w:val="false"/>
          <w:i w:val="false"/>
          <w:caps w:val="false"/>
          <w:smallCaps w:val="false"/>
          <w:sz w:val="20"/>
        </w:rPr>
        <w:t>”), up to [   ] shares (as subject to adjustment hereunder, the “</w:t>
      </w:r>
      <w:r>
        <w:rPr>
          <w:rFonts w:ascii="Times New Roman;Times;Serif" w:hAnsi="Times New Roman;Times;Serif"/>
          <w:b/>
          <w:i w:val="false"/>
          <w:caps w:val="false"/>
          <w:smallCaps w:val="false"/>
          <w:sz w:val="20"/>
          <w:u w:val="single"/>
        </w:rPr>
        <w:t>Warrant Shares</w:t>
      </w:r>
      <w:r>
        <w:rPr>
          <w:rFonts w:ascii="Times New Roman;Times;Serif" w:hAnsi="Times New Roman;Times;Serif"/>
          <w:b w:val="false"/>
          <w:i w:val="false"/>
          <w:caps w:val="false"/>
          <w:smallCaps w:val="false"/>
          <w:sz w:val="20"/>
        </w:rPr>
        <w:t>”) of Common Stock. Subject to the provisions of Section 2.3, the purchase price of one (1) share of Common Stock under this Warrant shall be equal to the Exercise Price, as defined in Section 2.2.</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2"/>
        <w:gridCol w:w="10053"/>
      </w:tblGrid>
      <w:tr>
        <w:trPr/>
        <w:tc>
          <w:tcPr>
            <w:tcW w:w="15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1005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u w:val="single"/>
              </w:rPr>
              <w:t>Definitions</w:t>
            </w:r>
            <w:r>
              <w:rPr>
                <w:rFonts w:ascii="Times New Roman;Times;Serif" w:hAnsi="Times New Roman;Times;Serif"/>
                <w:b w:val="false"/>
                <w:i w:val="false"/>
                <w:caps w:val="false"/>
                <w:smallCaps w:val="false"/>
                <w:sz w:val="20"/>
              </w:rPr>
              <w:t xml:space="preserve">. In addition to the terms defined elsewhere in this Warrant or in the Share Sale Agreement dated April 14, 2026 by and among (i) the Company, (ii) Robocath, a French </w:t>
            </w:r>
            <w:r>
              <w:rPr>
                <w:rFonts w:ascii="Times New Roman;Times;Serif" w:hAnsi="Times New Roman;Times;Serif"/>
                <w:b w:val="false"/>
                <w:i/>
                <w:caps w:val="false"/>
                <w:smallCaps w:val="false"/>
                <w:sz w:val="20"/>
              </w:rPr>
              <w:t>société par actions simplifiée</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u w:val="single"/>
              </w:rPr>
              <w:t>Robocath</w:t>
            </w:r>
            <w:r>
              <w:rPr>
                <w:rFonts w:ascii="Times New Roman;Times;Serif" w:hAnsi="Times New Roman;Times;Serif"/>
                <w:b w:val="false"/>
                <w:i w:val="false"/>
                <w:caps w:val="false"/>
                <w:smallCaps w:val="false"/>
                <w:sz w:val="20"/>
              </w:rPr>
              <w:t>”), (iii) the shareholders of Robocath set out therein and (iv) the Manager (as defined therein) (the “</w:t>
            </w:r>
            <w:r>
              <w:rPr>
                <w:rFonts w:ascii="Times New Roman;Times;Serif" w:hAnsi="Times New Roman;Times;Serif"/>
                <w:b/>
                <w:i w:val="false"/>
                <w:caps w:val="false"/>
                <w:smallCaps w:val="false"/>
                <w:sz w:val="20"/>
                <w:u w:val="single"/>
              </w:rPr>
              <w:t>Share Sale Agreement</w:t>
            </w:r>
            <w:r>
              <w:rPr>
                <w:rFonts w:ascii="Times New Roman;Times;Serif" w:hAnsi="Times New Roman;Times;Serif"/>
                <w:b w:val="false"/>
                <w:i w:val="false"/>
                <w:caps w:val="false"/>
                <w:smallCaps w:val="false"/>
                <w:sz w:val="20"/>
              </w:rPr>
              <w:t>”), the following terms have the meanings indicated in this Section 1:</w:t>
            </w:r>
          </w:p>
        </w:tc>
      </w:tr>
    </w:tbl>
    <w:p>
      <w:pPr>
        <w:pStyle w:val="TextBody"/>
        <w:bidi w:val="0"/>
        <w:spacing w:before="0" w:after="0"/>
        <w:ind w:left="63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w:t>
      </w:r>
      <w:r>
        <w:rPr>
          <w:rFonts w:ascii="Times New Roman;Times;Serif" w:hAnsi="Times New Roman;Times;Serif"/>
          <w:b/>
          <w:i w:val="false"/>
          <w:caps w:val="false"/>
          <w:smallCaps w:val="false"/>
          <w:sz w:val="20"/>
          <w:u w:val="single"/>
        </w:rPr>
        <w:t>Affiliate</w:t>
      </w:r>
      <w:r>
        <w:rPr>
          <w:rFonts w:ascii="Times New Roman;Times;Serif" w:hAnsi="Times New Roman;Times;Serif"/>
          <w:b w:val="false"/>
          <w:i w:val="false"/>
          <w:caps w:val="false"/>
          <w:smallCaps w:val="false"/>
          <w:sz w:val="20"/>
        </w:rPr>
        <w:t>” means any Person that, directly or indirectly through one or more intermediaries, controls or is controlled by or is under common control with a Person, as such terms are used in and construed under Rule 405 under the Securities Act.</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 “</w:t>
      </w:r>
      <w:r>
        <w:rPr>
          <w:rFonts w:ascii="Times New Roman;Times;Serif" w:hAnsi="Times New Roman;Times;Serif"/>
          <w:b/>
          <w:i w:val="false"/>
          <w:caps w:val="false"/>
          <w:smallCaps w:val="false"/>
          <w:sz w:val="20"/>
          <w:u w:val="single"/>
        </w:rPr>
        <w:t>Bid Price</w:t>
      </w:r>
      <w:r>
        <w:rPr>
          <w:rFonts w:ascii="Times New Roman;Times;Serif" w:hAnsi="Times New Roman;Times;Serif"/>
          <w:b w:val="false"/>
          <w:i w:val="false"/>
          <w:caps w:val="false"/>
          <w:smallCaps w:val="false"/>
          <w:sz w:val="20"/>
        </w:rPr>
        <w:t>” means, for any date, the price determined by the first of the following clauses that applies: (a) if the Common Stock is then listed or quoted on a Trading Market, the bid price of the Common Stock for the time in question (or the nearest preceding date) on the Trading Market on which the Common Stock is then listed or quoted as reported by Bloomberg L.P. (based on a Trading Day from 9:30 a.m. (New York City time) to 4:02 p.m. (New York City time)), (b) if OTCQB or OTCQX is not a Trading Market, the volume weighted average price of the Common Stock for such date (or the nearest preceding date) on OTCQB or OTCQX as applicable, (c) if the Common Stock is not then listed or quoted for trading on OTCQB or OTCQX and if prices for the Common Stock are then reported on the Pink Open Market (or a similar organization or agency succeeding to its functions of reporting prices), the most recent bid price per share of Common Stock so reported, or (d) in all other cases, the fair market value of a share of Common Stock as determined by an independent appraiser selected in good faith by the Holder and reasonably acceptable to the Company, the fees and expenses of which shall be paid by the Company, in each case as such amount is proportionately adjusted for stock splits, reverse stock splits, stock combinations, stock dividends, and other distributions and recapitalizations affecting the Common Stock after the Issuance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 “</w:t>
      </w:r>
      <w:r>
        <w:rPr>
          <w:rFonts w:ascii="Times New Roman;Times;Serif" w:hAnsi="Times New Roman;Times;Serif"/>
          <w:b/>
          <w:i w:val="false"/>
          <w:caps w:val="false"/>
          <w:smallCaps w:val="false"/>
          <w:sz w:val="20"/>
          <w:u w:val="single"/>
        </w:rPr>
        <w:t>Board of Directors</w:t>
      </w:r>
      <w:r>
        <w:rPr>
          <w:rFonts w:ascii="Times New Roman;Times;Serif" w:hAnsi="Times New Roman;Times;Serif"/>
          <w:b w:val="false"/>
          <w:i w:val="false"/>
          <w:caps w:val="false"/>
          <w:smallCaps w:val="false"/>
          <w:sz w:val="20"/>
        </w:rPr>
        <w:t>” means the board of directors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 “</w:t>
      </w:r>
      <w:r>
        <w:rPr>
          <w:rFonts w:ascii="Times New Roman;Times;Serif" w:hAnsi="Times New Roman;Times;Serif"/>
          <w:b/>
          <w:i w:val="false"/>
          <w:caps w:val="false"/>
          <w:smallCaps w:val="false"/>
          <w:sz w:val="20"/>
          <w:u w:val="single"/>
        </w:rPr>
        <w:t>Business Day</w:t>
      </w:r>
      <w:r>
        <w:rPr>
          <w:rFonts w:ascii="Times New Roman;Times;Serif" w:hAnsi="Times New Roman;Times;Serif"/>
          <w:b w:val="false"/>
          <w:i w:val="false"/>
          <w:caps w:val="false"/>
          <w:smallCaps w:val="false"/>
          <w:sz w:val="20"/>
        </w:rPr>
        <w:t>” means a Calendar Day other than a Saturday, Sunday or any other Calendar Day which is a federal legal holiday in the United States or any Calendar Day on which the commercial banks in the City of New York are required by law or other governmental action to close, provided that the commercial banks in the City of New York shall not be deemed to be required to be closed due to a “stay at home,” “shelter in place,” “non-essential employee” or similar orders or restrictions or the closure of any physical branch locations at the direction of any governmental authority so long as the electronic funds transfer systems (including for wire transfers) of commercial banks in the City of New York generally are open for use by customers on such Calendar Day.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 “</w:t>
      </w:r>
      <w:r>
        <w:rPr>
          <w:rFonts w:ascii="Times New Roman;Times;Serif" w:hAnsi="Times New Roman;Times;Serif"/>
          <w:b/>
          <w:i w:val="false"/>
          <w:caps w:val="false"/>
          <w:smallCaps w:val="false"/>
          <w:sz w:val="20"/>
          <w:u w:val="single"/>
        </w:rPr>
        <w:t>Calendar Day</w:t>
      </w:r>
      <w:r>
        <w:rPr>
          <w:rFonts w:ascii="Times New Roman;Times;Serif" w:hAnsi="Times New Roman;Times;Serif"/>
          <w:b w:val="false"/>
          <w:i w:val="false"/>
          <w:caps w:val="false"/>
          <w:smallCaps w:val="false"/>
          <w:sz w:val="20"/>
        </w:rPr>
        <w:t>” means each and every day of the week (Sunday, Monday, Tuesday, Wednesday, Thursday, Friday and Saturday).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 “</w:t>
      </w:r>
      <w:r>
        <w:rPr>
          <w:rFonts w:ascii="Times New Roman;Times;Serif" w:hAnsi="Times New Roman;Times;Serif"/>
          <w:b/>
          <w:i w:val="false"/>
          <w:caps w:val="false"/>
          <w:smallCaps w:val="false"/>
          <w:sz w:val="20"/>
          <w:u w:val="single"/>
        </w:rPr>
        <w:t>Commission</w:t>
      </w:r>
      <w:r>
        <w:rPr>
          <w:rFonts w:ascii="Times New Roman;Times;Serif" w:hAnsi="Times New Roman;Times;Serif"/>
          <w:b w:val="false"/>
          <w:i w:val="false"/>
          <w:caps w:val="false"/>
          <w:smallCaps w:val="false"/>
          <w:sz w:val="20"/>
        </w:rPr>
        <w:t>” means the United States Securities and Exchange Commission.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 “</w:t>
      </w:r>
      <w:r>
        <w:rPr>
          <w:rFonts w:ascii="Times New Roman;Times;Serif" w:hAnsi="Times New Roman;Times;Serif"/>
          <w:b/>
          <w:i w:val="false"/>
          <w:caps w:val="false"/>
          <w:smallCaps w:val="false"/>
          <w:sz w:val="20"/>
          <w:u w:val="single"/>
        </w:rPr>
        <w:t>Common Stock</w:t>
      </w:r>
      <w:r>
        <w:rPr>
          <w:rFonts w:ascii="Times New Roman;Times;Serif" w:hAnsi="Times New Roman;Times;Serif"/>
          <w:b w:val="false"/>
          <w:i w:val="false"/>
          <w:caps w:val="false"/>
          <w:smallCaps w:val="false"/>
          <w:sz w:val="20"/>
        </w:rPr>
        <w:t>” means the common stock of the Company, $0.001 par value per share, and any other class of securities into which such securities may hereafter be reclassified or changed.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 “</w:t>
      </w:r>
      <w:r>
        <w:rPr>
          <w:rFonts w:ascii="Times New Roman;Times;Serif" w:hAnsi="Times New Roman;Times;Serif"/>
          <w:b/>
          <w:i w:val="false"/>
          <w:caps w:val="false"/>
          <w:smallCaps w:val="false"/>
          <w:sz w:val="20"/>
          <w:u w:val="single"/>
        </w:rPr>
        <w:t>Common Stock Equivalents</w:t>
      </w:r>
      <w:r>
        <w:rPr>
          <w:rFonts w:ascii="Times New Roman;Times;Serif" w:hAnsi="Times New Roman;Times;Serif"/>
          <w:b w:val="false"/>
          <w:i w:val="false"/>
          <w:caps w:val="false"/>
          <w:smallCaps w:val="false"/>
          <w:sz w:val="20"/>
        </w:rPr>
        <w:t>” means any securities of the Company or the Subsidiaries which would entitle the holder thereof to acquire at any time Common Stock, including, without limitation, any debt, preferred stock, right, option, warrant or other instrument that is at any time convertible into or exercisable or exchangeable for, or otherwise entitles the holder thereof to receive, Common Stock.</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 “</w:t>
      </w:r>
      <w:r>
        <w:rPr>
          <w:rFonts w:ascii="Times New Roman;Times;Serif" w:hAnsi="Times New Roman;Times;Serif"/>
          <w:b/>
          <w:i w:val="false"/>
          <w:caps w:val="false"/>
          <w:smallCaps w:val="false"/>
          <w:sz w:val="20"/>
          <w:u w:val="single"/>
        </w:rPr>
        <w:t>Exchange Act</w:t>
      </w:r>
      <w:r>
        <w:rPr>
          <w:rFonts w:ascii="Times New Roman;Times;Serif" w:hAnsi="Times New Roman;Times;Serif"/>
          <w:b w:val="false"/>
          <w:i w:val="false"/>
          <w:caps w:val="false"/>
          <w:smallCaps w:val="false"/>
          <w:sz w:val="20"/>
        </w:rPr>
        <w:t>” means the Securities Exchange Act of 1934, as amended, and the rules and regulations promulgated thereunder.</w:t>
      </w:r>
    </w:p>
    <w:p>
      <w:pPr>
        <w:pStyle w:val="TextBody"/>
        <w:pBdr/>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1.10. “</w:t>
      </w:r>
      <w:r>
        <w:rPr>
          <w:rFonts w:ascii="Times New Roman;Times;Serif" w:hAnsi="Times New Roman;Times;Serif"/>
          <w:b/>
          <w:i w:val="false"/>
          <w:caps w:val="false"/>
          <w:smallCaps w:val="false"/>
          <w:sz w:val="20"/>
          <w:u w:val="single"/>
        </w:rPr>
        <w:t>Marketable Securities</w:t>
      </w:r>
      <w:r>
        <w:rPr>
          <w:rFonts w:ascii="Times New Roman;Times;Serif" w:hAnsi="Times New Roman;Times;Serif"/>
          <w:b w:val="false"/>
          <w:i w:val="false"/>
          <w:caps w:val="false"/>
          <w:smallCaps w:val="false"/>
          <w:sz w:val="20"/>
        </w:rPr>
        <w:t>” means securities meeting all of the following requirements: (i) the issuer thereof is then subject to the reporting requirements of Section 13 or Section 15(d) of the Exchange Act, and is then current in its filing of all required reports and other information under the Securities Act and the Exchange Act; (ii) the class and series of shares or other security of the issuer that would be received by Holder in connection with the Fundamental Transaction (as defined below) were Holder to exercise this Warrant on or prior to the closing thereof is then traded or quoted on a nationally recognized securities exchange, inter-dealer quotation system or over-the-counter market, and (iii) following the closing of such Fundamental Transaction, the Holder would not be restricted from publicly re-selling all of the issuer’s shares and/or other securities that would be received by the Holder in such Fundamental Transaction were the Holder to exercise or convert this Warrant in full on or prior to the closing of such Fundamental Transaction, except to the extent that any such restriction (x) arises solely under federal or state securities laws, rules or regulations, and (y) does not extend beyond six (6) months from the closing of such Fundamental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 “</w:t>
      </w:r>
      <w:r>
        <w:rPr>
          <w:rFonts w:ascii="Times New Roman;Times;Serif" w:hAnsi="Times New Roman;Times;Serif"/>
          <w:b/>
          <w:i w:val="false"/>
          <w:caps w:val="false"/>
          <w:smallCaps w:val="false"/>
          <w:sz w:val="20"/>
          <w:u w:val="single"/>
        </w:rPr>
        <w:t>Person</w:t>
      </w:r>
      <w:r>
        <w:rPr>
          <w:rFonts w:ascii="Times New Roman;Times;Serif" w:hAnsi="Times New Roman;Times;Serif"/>
          <w:b w:val="false"/>
          <w:i w:val="false"/>
          <w:caps w:val="false"/>
          <w:smallCaps w:val="false"/>
          <w:sz w:val="20"/>
        </w:rPr>
        <w:t>” means an individual or corporation, partnership, trust, incorporated or unincorporated association, joint venture, limited liability company, joint stock company, government (or an agency or subdivision thereof) or other entity of any kind.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 “</w:t>
      </w:r>
      <w:r>
        <w:rPr>
          <w:rFonts w:ascii="Times New Roman;Times;Serif" w:hAnsi="Times New Roman;Times;Serif"/>
          <w:b/>
          <w:i w:val="false"/>
          <w:caps w:val="false"/>
          <w:smallCaps w:val="false"/>
          <w:sz w:val="20"/>
          <w:u w:val="single"/>
        </w:rPr>
        <w:t>Securities Act</w:t>
      </w:r>
      <w:r>
        <w:rPr>
          <w:rFonts w:ascii="Times New Roman;Times;Serif" w:hAnsi="Times New Roman;Times;Serif"/>
          <w:b w:val="false"/>
          <w:i w:val="false"/>
          <w:caps w:val="false"/>
          <w:smallCaps w:val="false"/>
          <w:sz w:val="20"/>
        </w:rPr>
        <w:t>” means the Securities Act of 1933, as amended, and the rules and regulations promulgated thereunder.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1.13. “</w:t>
      </w:r>
      <w:r>
        <w:rPr>
          <w:rFonts w:ascii="Times New Roman;Times;Serif" w:hAnsi="Times New Roman;Times;Serif"/>
          <w:b/>
          <w:i w:val="false"/>
          <w:caps w:val="false"/>
          <w:smallCaps w:val="false"/>
          <w:sz w:val="20"/>
          <w:u w:val="single"/>
        </w:rPr>
        <w:t>Subsidiary</w:t>
      </w:r>
      <w:r>
        <w:rPr>
          <w:rFonts w:ascii="Times New Roman;Times;Serif" w:hAnsi="Times New Roman;Times;Serif"/>
          <w:b w:val="false"/>
          <w:i w:val="false"/>
          <w:caps w:val="false"/>
          <w:smallCaps w:val="false"/>
          <w:sz w:val="20"/>
        </w:rPr>
        <w:t>” means any subsidiary of the Company and shall, where applicable, also include any direct or indirect subsidiary of the Company formed or acquired after the date 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1.14. “</w:t>
      </w:r>
      <w:r>
        <w:rPr>
          <w:rFonts w:ascii="Times New Roman;Times;Serif" w:hAnsi="Times New Roman;Times;Serif"/>
          <w:b/>
          <w:i w:val="false"/>
          <w:caps w:val="false"/>
          <w:smallCaps w:val="false"/>
          <w:sz w:val="20"/>
          <w:u w:val="single"/>
        </w:rPr>
        <w:t>Trading Day</w:t>
      </w:r>
      <w:r>
        <w:rPr>
          <w:rFonts w:ascii="Times New Roman;Times;Serif" w:hAnsi="Times New Roman;Times;Serif"/>
          <w:b w:val="false"/>
          <w:i w:val="false"/>
          <w:caps w:val="false"/>
          <w:smallCaps w:val="false"/>
          <w:sz w:val="20"/>
        </w:rPr>
        <w:t>” means a Calendar Day on which the principal Trading Market is open for trading.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1.15. “</w:t>
      </w:r>
      <w:r>
        <w:rPr>
          <w:rFonts w:ascii="Times New Roman;Times;Serif" w:hAnsi="Times New Roman;Times;Serif"/>
          <w:b/>
          <w:i w:val="false"/>
          <w:caps w:val="false"/>
          <w:smallCaps w:val="false"/>
          <w:sz w:val="20"/>
          <w:u w:val="single"/>
        </w:rPr>
        <w:t>Trading Market</w:t>
      </w:r>
      <w:r>
        <w:rPr>
          <w:rFonts w:ascii="Times New Roman;Times;Serif" w:hAnsi="Times New Roman;Times;Serif"/>
          <w:b w:val="false"/>
          <w:i w:val="false"/>
          <w:caps w:val="false"/>
          <w:smallCaps w:val="false"/>
          <w:sz w:val="20"/>
        </w:rPr>
        <w:t>” means the NYSE American, or any of the other following markets or exchanges on which the Common Stock is listed or quoted for trading on the date in question if not the NYSE American: the Nasdaq Capital Market, the Nasdaq Global Market, the Nasdaq Global Select Market, the New York Stock Exchange, OTCQB or OTCQX (or any successors to any of the foregoing).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1.16. “</w:t>
      </w:r>
      <w:r>
        <w:rPr>
          <w:rFonts w:ascii="Times New Roman;Times;Serif" w:hAnsi="Times New Roman;Times;Serif"/>
          <w:b/>
          <w:i w:val="false"/>
          <w:caps w:val="false"/>
          <w:smallCaps w:val="false"/>
          <w:sz w:val="20"/>
          <w:u w:val="single"/>
        </w:rPr>
        <w:t>Transaction Documents</w:t>
      </w:r>
      <w:r>
        <w:rPr>
          <w:rFonts w:ascii="Times New Roman;Times;Serif" w:hAnsi="Times New Roman;Times;Serif"/>
          <w:b w:val="false"/>
          <w:i w:val="false"/>
          <w:caps w:val="false"/>
          <w:smallCaps w:val="false"/>
          <w:sz w:val="20"/>
        </w:rPr>
        <w:t>” means the Share Sale Agreement, these Warrants and any other Transaction Documents as defined in the Share Sale Agreement, and all exhibits, schedules, annexes, and other attachments thereto and hereto and any other documents or agreements executed in connection with the transactions contemplated hereunder and thereunder.</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1.17. “</w:t>
      </w:r>
      <w:r>
        <w:rPr>
          <w:rFonts w:ascii="Times New Roman;Times;Serif" w:hAnsi="Times New Roman;Times;Serif"/>
          <w:b/>
          <w:i w:val="false"/>
          <w:caps w:val="false"/>
          <w:smallCaps w:val="false"/>
          <w:sz w:val="20"/>
          <w:u w:val="single"/>
        </w:rPr>
        <w:t>Transfer Agent</w:t>
      </w:r>
      <w:r>
        <w:rPr>
          <w:rFonts w:ascii="Times New Roman;Times;Serif" w:hAnsi="Times New Roman;Times;Serif"/>
          <w:b w:val="false"/>
          <w:i w:val="false"/>
          <w:caps w:val="false"/>
          <w:smallCaps w:val="false"/>
          <w:sz w:val="20"/>
        </w:rPr>
        <w:t>” means Broadridge Corporate Issuer Solutions, Inc., the current transfer agent of the Company, with a mailing address of Broadridge Corporate Issuer Solutions, PO Box 1342, Brentwood, NY 11717-0718, Attn: Michael Dromgoole (E-mail: michael.dromgoole@broadridge.com), and any successor transfer agent of the Company.</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1.18. “</w:t>
      </w:r>
      <w:r>
        <w:rPr>
          <w:rFonts w:ascii="Times New Roman;Times;Serif" w:hAnsi="Times New Roman;Times;Serif"/>
          <w:b/>
          <w:i w:val="false"/>
          <w:caps w:val="false"/>
          <w:smallCaps w:val="false"/>
          <w:sz w:val="20"/>
          <w:u w:val="single"/>
        </w:rPr>
        <w:t>VWAP</w:t>
      </w:r>
      <w:r>
        <w:rPr>
          <w:rFonts w:ascii="Times New Roman;Times;Serif" w:hAnsi="Times New Roman;Times;Serif"/>
          <w:b w:val="false"/>
          <w:i w:val="false"/>
          <w:caps w:val="false"/>
          <w:smallCaps w:val="false"/>
          <w:sz w:val="20"/>
        </w:rPr>
        <w:t>” means, for any date, the price determined by the first of the following clauses that applies: (a) if the Common Stock is then listed or quoted on a Trading Market, the daily volume weighted average price of the Common Stock for such date (or the nearest preceding date) on the Trading Market on which the Common Stock is then listed or quoted as reported by Bloomberg L.P. (based on a Trading Day from 9:30 a.m. (New York City time) to 4:02 p.m. (New York City time)), (b) if OTCQB or OTCQX is not a Trading Market, the volume weighted average price of the Common Stock for such date (or the nearest preceding date) on OTCQB or OTCQX as applicable, (c) if the Common Stock is not then listed or quoted for trading on OTCQB or OTCQX and if prices for the Common Stock are then reported on the Pink Open Market (or a similar organization or agency succeeding to its functions of reporting prices), the most recent bid price per share of Common Stock so reported, or (d) in all other cases, the fair market value of a share of Common Stock as determined by an independent appraiser selected in good faith by the Holder and reasonably acceptable to the Company, the fees and expenses of which shall be paid by the Company, in each case as such amount is proportionately adjusted for stock splits, reverse stock splits, stock combinations, stock dividends, and other distributions and recapitalizations affecting the Common Stock after the Issuance Date.</w:t>
      </w:r>
    </w:p>
    <w:p>
      <w:pPr>
        <w:pStyle w:val="TextBody"/>
        <w:bidi w:val="0"/>
        <w:spacing w:before="0" w:after="0"/>
        <w:ind w:left="0" w:right="0" w:hanging="0"/>
        <w:jc w:val="both"/>
        <w:rPr>
          <w:caps w:val="false"/>
          <w:smallCaps w:val="false"/>
        </w:rPr>
      </w:pPr>
      <w:r>
        <w:rPr>
          <w:caps w:val="false"/>
          <w:smallCaps w:val="false"/>
        </w:rPr>
        <w:t> </w:t>
      </w:r>
    </w:p>
    <w:tbl>
      <w:tblPr>
        <w:tblW w:w="1000" w:type="dxa"/>
        <w:jc w:val="left"/>
        <w:tblInd w:w="0" w:type="dxa"/>
        <w:tblLayout w:type="fixed"/>
        <w:tblCellMar>
          <w:top w:w="0" w:type="dxa"/>
          <w:left w:w="0" w:type="dxa"/>
          <w:bottom w:w="0" w:type="dxa"/>
          <w:right w:w="0" w:type="dxa"/>
        </w:tblCellMar>
      </w:tblPr>
      <w:tblGrid>
        <w:gridCol w:w="185"/>
        <w:gridCol w:w="815"/>
      </w:tblGrid>
      <w:tr>
        <w:trPr/>
        <w:tc>
          <w:tcPr>
            <w:tcW w:w="1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8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u w:val="single"/>
              </w:rPr>
              <w:t>Exercise</w:t>
            </w:r>
            <w:r>
              <w:rPr>
                <w:rFonts w:ascii="Times New Roman;Times;Serif" w:hAnsi="Times New Roman;Times;Serif"/>
                <w:b w:val="false"/>
                <w:i w:val="false"/>
                <w:caps w:val="false"/>
                <w:smallCaps w:val="false"/>
                <w:sz w:val="20"/>
              </w:rPr>
              <w:t>.</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2.1. </w:t>
      </w:r>
      <w:r>
        <w:rPr>
          <w:rFonts w:ascii="Times New Roman;Times;Serif" w:hAnsi="Times New Roman;Times;Serif"/>
          <w:b/>
          <w:i w:val="false"/>
          <w:caps w:val="false"/>
          <w:smallCaps w:val="false"/>
          <w:sz w:val="20"/>
          <w:u w:val="single"/>
        </w:rPr>
        <w:t>Exercise of Warrant</w:t>
      </w:r>
      <w:r>
        <w:rPr>
          <w:rFonts w:ascii="Times New Roman;Times;Serif" w:hAnsi="Times New Roman;Times;Serif"/>
          <w:b w:val="false"/>
          <w:i w:val="false"/>
          <w:caps w:val="false"/>
          <w:smallCaps w:val="false"/>
          <w:sz w:val="20"/>
        </w:rPr>
        <w:t xml:space="preserve">. Exercise of the purchase rights represented by this Warrant may be made, in whole or in part, at any time or times on or after the Initial Exercise Date and on or before the Termination Date by delivery to the Company of a duly executed PDF copy submitted by e-mail (or e-mail attachment) of the Notice of Exercise substantially in the form attached hereto as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(the “</w:t>
      </w:r>
      <w:r>
        <w:rPr>
          <w:rFonts w:ascii="Times New Roman;Times;Serif" w:hAnsi="Times New Roman;Times;Serif"/>
          <w:b/>
          <w:i w:val="false"/>
          <w:caps w:val="false"/>
          <w:smallCaps w:val="false"/>
          <w:sz w:val="20"/>
          <w:u w:val="single"/>
        </w:rPr>
        <w:t>Notice of Exercise</w:t>
      </w:r>
      <w:r>
        <w:rPr>
          <w:rFonts w:ascii="Times New Roman;Times;Serif" w:hAnsi="Times New Roman;Times;Serif"/>
          <w:b w:val="false"/>
          <w:i w:val="false"/>
          <w:caps w:val="false"/>
          <w:smallCaps w:val="false"/>
          <w:sz w:val="20"/>
        </w:rPr>
        <w:t xml:space="preserve">”). Notwithstanding the foregoing, this Warrant may not be exercised within the United States or by or on behalf of any U.S. person (as defined in Regulation S promulgated under the Securities Act), and the Warrant Shares issuable upon exercise of this Warrant may not be delivered within the United States upon such exercise, in each case other than in transactions exempt from the registration requirements of the Securities Act. Within the earlier of (i) two (2) Trading Days and (ii) the number of Trading Days comprising the Standard Settlement Period (as defined in Section 2.5.1 herein) following the date of exercise as aforesaid, the Holder shall deliver the aggregate Exercise Price for the Warrant Shares specified in the applicable Notice of Exercise by wire transfer or cashier’s check drawn on a United States bank unless the cashless exercise procedure specified in Section 2.3 below is specified in the applicable Notice of Exercise. No ink-original Notice of Exercise shall be required, nor shall any medallion guarantee (or other type of guarantee or notarization) of any Notice of Exercise be required. Notwithstanding anything herein to the contrary, the Holder shall not be required to physically surrender this Warrant to the Company until the Holder has purchased all of the Warrant Shares available hereunder and the Warrant has been exercised in full, in which case, the Holder shall surrender this Warrant to the Company for cancellation within three (3) Trading Days after the date on which the final Notice of Exercise is delivered to the Company. Partial exercises of this Warrant resulting in purchases of a portion of the total number of Warrant Shares available hereunder shall have the effect of lowering the outstanding number of Warrant Shares purchasable hereunder in an amount equal to the applicable number of Warrant Shares purchased. The Holder and the Company shall maintain records showing the number of Warrant Shares purchased and the date of such purchases. The Company shall deliver any objection to any Notice of Exercise within two (2) Trading Days after receipt of such notice. </w:t>
      </w:r>
      <w:r>
        <w:rPr>
          <w:rFonts w:ascii="Times New Roman;Times;Serif" w:hAnsi="Times New Roman;Times;Serif"/>
          <w:b/>
          <w:i w:val="false"/>
          <w:caps w:val="false"/>
          <w:smallCaps w:val="false"/>
          <w:sz w:val="20"/>
        </w:rPr>
        <w:t>The Holder and any assignee, by acceptance of this Warrant, acknowledge and agree that, by reason of the provisions of this paragraph, following the purchase of a portion of the Warrant Shares hereunder, the number of Warrant Shares available for purchase hereunder at any given time may be less than the amount stated on the face hereof.</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2.2. </w:t>
      </w:r>
      <w:r>
        <w:rPr>
          <w:rFonts w:ascii="Times New Roman;Times;Serif" w:hAnsi="Times New Roman;Times;Serif"/>
          <w:b/>
          <w:i w:val="false"/>
          <w:caps w:val="false"/>
          <w:smallCaps w:val="false"/>
          <w:sz w:val="20"/>
          <w:u w:val="single"/>
        </w:rPr>
        <w:t>Exercise Price</w:t>
      </w:r>
      <w:r>
        <w:rPr>
          <w:rFonts w:ascii="Times New Roman;Times;Serif" w:hAnsi="Times New Roman;Times;Serif"/>
          <w:b w:val="false"/>
          <w:i w:val="false"/>
          <w:caps w:val="false"/>
          <w:smallCaps w:val="false"/>
          <w:sz w:val="20"/>
        </w:rPr>
        <w:t>. The aggregate exercise price of this Warrant, except for a nominal exercise price of $0.001 per Warrant Share, subject to adjustment hereunder (such nominal exercise price, the “</w:t>
      </w:r>
      <w:r>
        <w:rPr>
          <w:rFonts w:ascii="Times New Roman;Times;Serif" w:hAnsi="Times New Roman;Times;Serif"/>
          <w:b/>
          <w:i w:val="false"/>
          <w:caps w:val="false"/>
          <w:smallCaps w:val="false"/>
          <w:sz w:val="20"/>
          <w:u w:val="single"/>
        </w:rPr>
        <w:t>Exercise Price</w:t>
      </w:r>
      <w:r>
        <w:rPr>
          <w:rFonts w:ascii="Times New Roman;Times;Serif" w:hAnsi="Times New Roman;Times;Serif"/>
          <w:b w:val="false"/>
          <w:i w:val="false"/>
          <w:caps w:val="false"/>
          <w:smallCaps w:val="false"/>
          <w:sz w:val="20"/>
        </w:rPr>
        <w:t>”), was pre-funded to the Company on or prior to the Initial Exercise Date and, consequently, no additional consideration (other than such Exercise Price) shall be required to be paid by the Holder to any Person to effect any exercise of this Warrant. The Holder shall not be entitled to the return or refund of all, or any portion, of such pre-paid aggregate exercise price under any circumstance or for any reason whatsoever. The remaining unpaid exercise price per Warrant Share is $0.001, subject to adjustment hereunder.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2.3. </w:t>
      </w:r>
      <w:r>
        <w:rPr>
          <w:rFonts w:ascii="Times New Roman;Times;Serif" w:hAnsi="Times New Roman;Times;Serif"/>
          <w:b/>
          <w:i w:val="false"/>
          <w:caps w:val="false"/>
          <w:smallCaps w:val="false"/>
          <w:sz w:val="20"/>
          <w:u w:val="single"/>
        </w:rPr>
        <w:t>Cashless Exercise</w:t>
      </w:r>
      <w:r>
        <w:rPr>
          <w:rFonts w:ascii="Times New Roman;Times;Serif" w:hAnsi="Times New Roman;Times;Serif"/>
          <w:b w:val="false"/>
          <w:i w:val="false"/>
          <w:caps w:val="false"/>
          <w:smallCaps w:val="false"/>
          <w:sz w:val="20"/>
        </w:rPr>
        <w:t>. This Warrant may also be exercised, in whole or in part, by means of a “cashless exercise” in which the Holder shall be entitled to receive a number of Warrant Shares equal to the quotient obtained by dividing [(A-B) (X)] by (A), where: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9"/>
        <w:gridCol w:w="155"/>
        <w:gridCol w:w="9811"/>
      </w:tblGrid>
      <w:tr>
        <w:trPr/>
        <w:tc>
          <w:tcPr>
            <w:tcW w:w="23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p>
        </w:tc>
        <w:tc>
          <w:tcPr>
            <w:tcW w:w="155" w:type="dxa"/>
            <w:tcBorders/>
            <w:vAlign w:val="center"/>
          </w:tcPr>
          <w:p>
            <w:pPr>
              <w:pStyle w:val="TableContents"/>
              <w:bidi w:val="0"/>
              <w:spacing w:before="0" w:after="283"/>
              <w:jc w:val="center"/>
              <w:rPr/>
            </w:pPr>
            <w:r>
              <w:rPr/>
              <w:t>=</w:t>
            </w:r>
          </w:p>
        </w:tc>
        <w:tc>
          <w:tcPr>
            <w:tcW w:w="981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applicable: (i) the VWAP on the Trading Day immediately preceding the date of the applicable Notice of Exercise if such Notice of Exercise is (1) delivered pursuant to Section 2.1 hereof on a Calendar Day that is not a Trading Day or (2) delivered pursuant to Section 2.1 hereof on a Trading Day prior to the opening of “regular trading hours” (as defined in Rule 600(b) of Regulation NMS promulgated under the federal securities laws) on such Trading Day, (ii) at the option of the Holder, either (y) the VWAP on the Trading Day immediately preceding the date of the applicable Notice of Exercise or (z) the highest Bid Price of the Common Stock on the principal Trading Market as reported by Bloomberg L.P. within two (2) hours of the Holder’s delivery of the Notice of Exercise pursuant to Section 2.1 hereof if such Notice of Exercise is delivered during “regular trading hours,” or within two (2) hours after the close of “regular trading hours” on a Trading Day or (iii) the VWAP on the date of the applicable Notice of Exercise if the date of such Notice of Exercise is a Trading Day and such Notice of Exercise is delivered pursuant to Section 2.1 hereof two (2) or more hours following the close of “regular trading hours” on such Trading Day;</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88"/>
        <w:gridCol w:w="155"/>
        <w:gridCol w:w="9762"/>
      </w:tblGrid>
      <w:tr>
        <w:trPr/>
        <w:tc>
          <w:tcPr>
            <w:tcW w:w="28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p>
        </w:tc>
        <w:tc>
          <w:tcPr>
            <w:tcW w:w="155" w:type="dxa"/>
            <w:tcBorders/>
            <w:vAlign w:val="center"/>
          </w:tcPr>
          <w:p>
            <w:pPr>
              <w:pStyle w:val="TableContents"/>
              <w:bidi w:val="0"/>
              <w:spacing w:before="0" w:after="283"/>
              <w:jc w:val="center"/>
              <w:rPr/>
            </w:pPr>
            <w:r>
              <w:rPr/>
              <w:t>=</w:t>
            </w:r>
          </w:p>
        </w:tc>
        <w:tc>
          <w:tcPr>
            <w:tcW w:w="976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Exercise Price of this Warrant, as adjusted hereunder; and</w:t>
            </w:r>
          </w:p>
        </w:tc>
      </w:tr>
      <w:tr>
        <w:trPr/>
        <w:tc>
          <w:tcPr>
            <w:tcW w:w="288" w:type="dxa"/>
            <w:tcBorders/>
            <w:vAlign w:val="center"/>
          </w:tcPr>
          <w:p>
            <w:pPr>
              <w:pStyle w:val="TableContents"/>
              <w:bidi w:val="0"/>
              <w:spacing w:before="0" w:after="283"/>
              <w:jc w:val="both"/>
              <w:rPr>
                <w:caps w:val="false"/>
                <w:smallCaps w:val="false"/>
              </w:rPr>
            </w:pPr>
            <w:r>
              <w:rPr>
                <w:caps w:val="false"/>
                <w:smallCaps w:val="false"/>
              </w:rPr>
              <w:t> </w:t>
            </w:r>
          </w:p>
        </w:tc>
        <w:tc>
          <w:tcPr>
            <w:tcW w:w="155" w:type="dxa"/>
            <w:tcBorders/>
            <w:vAlign w:val="center"/>
          </w:tcPr>
          <w:p>
            <w:pPr>
              <w:pStyle w:val="TableContents"/>
              <w:bidi w:val="0"/>
              <w:spacing w:before="0" w:after="283"/>
              <w:jc w:val="left"/>
              <w:rPr/>
            </w:pPr>
            <w:r>
              <w:rPr/>
              <w:t> </w:t>
            </w:r>
          </w:p>
        </w:tc>
        <w:tc>
          <w:tcPr>
            <w:tcW w:w="976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8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 </w:t>
            </w:r>
          </w:p>
        </w:tc>
        <w:tc>
          <w:tcPr>
            <w:tcW w:w="155" w:type="dxa"/>
            <w:tcBorders/>
            <w:vAlign w:val="center"/>
          </w:tcPr>
          <w:p>
            <w:pPr>
              <w:pStyle w:val="TableContents"/>
              <w:bidi w:val="0"/>
              <w:spacing w:before="0" w:after="283"/>
              <w:jc w:val="center"/>
              <w:rPr/>
            </w:pPr>
            <w:r>
              <w:rPr/>
              <w:t>=</w:t>
            </w:r>
          </w:p>
        </w:tc>
        <w:tc>
          <w:tcPr>
            <w:tcW w:w="976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Warrant Shares that would be issuable upon exercise of this Warrant in accordance with the terms of this Warrant if such exercise were by means of a cash exercise rather than a cashless exercise.</w:t>
            </w:r>
          </w:p>
        </w:tc>
      </w:tr>
    </w:tbl>
    <w:p>
      <w:pPr>
        <w:pStyle w:val="TextBody"/>
        <w:bidi w:val="0"/>
        <w:spacing w:before="0" w:after="0"/>
        <w:ind w:left="72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5</w:t>
            </w:r>
          </w:p>
        </w:tc>
      </w:tr>
    </w:tbl>
    <w:p>
      <w:pPr>
        <w:pStyle w:val="TextBody"/>
        <w:bidi w:val="0"/>
        <w:spacing w:before="0" w:after="0"/>
        <w:ind w:left="0" w:right="0" w:hanging="0"/>
        <w:jc w:val="left"/>
        <w:rPr/>
      </w:pPr>
      <w:r>
        <w:rPr/>
        <w:t>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2.4. </w:t>
      </w:r>
      <w:r>
        <w:rPr>
          <w:rFonts w:ascii="Times New Roman;Times;Serif" w:hAnsi="Times New Roman;Times;Serif"/>
          <w:b/>
          <w:i w:val="false"/>
          <w:caps w:val="false"/>
          <w:smallCaps w:val="false"/>
          <w:sz w:val="20"/>
          <w:u w:val="single"/>
        </w:rPr>
        <w:t>Holding Period for Cashless Exercise</w:t>
      </w:r>
      <w:r>
        <w:rPr>
          <w:rFonts w:ascii="Times New Roman;Times;Serif" w:hAnsi="Times New Roman;Times;Serif"/>
          <w:b w:val="false"/>
          <w:i w:val="false"/>
          <w:caps w:val="false"/>
          <w:smallCaps w:val="false"/>
          <w:sz w:val="20"/>
        </w:rPr>
        <w:t>. If Warrant Shares are issued in a cashless exercise, the parties acknowledge and agree that in accordance with Section 3(a)(9) of the Securities Act, the holding period of the Warrant Shares shall take on the characteristics of the Warrant being exercised. The Company agrees not to take any position contrary to this Section 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2.5. </w:t>
      </w:r>
      <w:r>
        <w:rPr>
          <w:rFonts w:ascii="Times New Roman;Times;Serif" w:hAnsi="Times New Roman;Times;Serif"/>
          <w:b/>
          <w:i w:val="false"/>
          <w:caps w:val="false"/>
          <w:smallCaps w:val="false"/>
          <w:sz w:val="20"/>
          <w:u w:val="single"/>
        </w:rPr>
        <w:t>Mechanics of Exercise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2.5.1. </w:t>
      </w:r>
      <w:r>
        <w:rPr>
          <w:rFonts w:ascii="Times New Roman;Times;Serif" w:hAnsi="Times New Roman;Times;Serif"/>
          <w:b/>
          <w:i w:val="false"/>
          <w:caps w:val="false"/>
          <w:smallCaps w:val="false"/>
          <w:sz w:val="20"/>
          <w:u w:val="single"/>
        </w:rPr>
        <w:t>Delivery of Warrant Shares upon Exercise</w:t>
      </w:r>
      <w:r>
        <w:rPr>
          <w:rFonts w:ascii="Times New Roman;Times;Serif" w:hAnsi="Times New Roman;Times;Serif"/>
          <w:b w:val="false"/>
          <w:i w:val="false"/>
          <w:caps w:val="false"/>
          <w:smallCaps w:val="false"/>
          <w:sz w:val="20"/>
        </w:rPr>
        <w:t>. The Company shall cause the Warrant Shares purchased hereunder (“</w:t>
      </w:r>
      <w:r>
        <w:rPr>
          <w:rFonts w:ascii="Times New Roman;Times;Serif" w:hAnsi="Times New Roman;Times;Serif"/>
          <w:b/>
          <w:i w:val="false"/>
          <w:caps w:val="false"/>
          <w:smallCaps w:val="false"/>
          <w:sz w:val="20"/>
          <w:u w:val="single"/>
        </w:rPr>
        <w:t>Exercise Shares</w:t>
      </w:r>
      <w:r>
        <w:rPr>
          <w:rFonts w:ascii="Times New Roman;Times;Serif" w:hAnsi="Times New Roman;Times;Serif"/>
          <w:b w:val="false"/>
          <w:i w:val="false"/>
          <w:caps w:val="false"/>
          <w:smallCaps w:val="false"/>
          <w:sz w:val="20"/>
        </w:rPr>
        <w:t>”) to be transmitted by the Transfer Agent to the Holder by crediting the account of the Holder’s or its designee’s balance account with The Depository Trust Company through its Deposit or Withdrawal at Custodian system (“</w:t>
      </w:r>
      <w:r>
        <w:rPr>
          <w:rFonts w:ascii="Times New Roman;Times;Serif" w:hAnsi="Times New Roman;Times;Serif"/>
          <w:b/>
          <w:i w:val="false"/>
          <w:caps w:val="false"/>
          <w:smallCaps w:val="false"/>
          <w:sz w:val="20"/>
          <w:u w:val="single"/>
        </w:rPr>
        <w:t>DWAC</w:t>
      </w:r>
      <w:r>
        <w:rPr>
          <w:rFonts w:ascii="Times New Roman;Times;Serif" w:hAnsi="Times New Roman;Times;Serif"/>
          <w:b w:val="false"/>
          <w:i w:val="false"/>
          <w:caps w:val="false"/>
          <w:smallCaps w:val="false"/>
          <w:sz w:val="20"/>
        </w:rPr>
        <w:t>”) if the Company is then a participant in such system and either (A) there is an effective registration statement permitting the issuance of the Warrant Shares to, or the resale of the Warrant Shares by, Holder or (B) the Warrant Shares are eligible for resale by the Holder without volume or manner-of-sale limitations pursuant to Rule 144 (assuming cashless exercise of the Warrants), and otherwise by physical delivery of a certificate or by electronic delivery (at the election of the Holder), for the number of Warrant Shares to which the Holder is entitled pursuant to such exercise to the address specified by the Holder in the Notice of Exercise by the date that is the earlier of (i) one (1) Trading Day after the delivery to the Company of the Notice of Exercise and (ii) the number of Trading Days comprising the Standard Settlement Period after the delivery to the Company of the Notice of Exercise (such date, the “</w:t>
      </w:r>
      <w:r>
        <w:rPr>
          <w:rFonts w:ascii="Times New Roman;Times;Serif" w:hAnsi="Times New Roman;Times;Serif"/>
          <w:b/>
          <w:i w:val="false"/>
          <w:caps w:val="false"/>
          <w:smallCaps w:val="false"/>
          <w:sz w:val="20"/>
          <w:u w:val="single"/>
        </w:rPr>
        <w:t>Warrant Share Delivery Date</w:t>
      </w:r>
      <w:r>
        <w:rPr>
          <w:rFonts w:ascii="Times New Roman;Times;Serif" w:hAnsi="Times New Roman;Times;Serif"/>
          <w:b w:val="false"/>
          <w:i w:val="false"/>
          <w:caps w:val="false"/>
          <w:smallCaps w:val="false"/>
          <w:sz w:val="20"/>
        </w:rPr>
        <w:t>”). Upon delivery of the Notice of Exercise, the Holder, or any Person so designated by the Holder to receive Warrant Shares, shall be deemed for all corporate purposes to have become the holder of record of the Warrant Shares with respect to which this Warrant has been exercised, irrespective of the date of delivery of the Warrant Shares, provided that payment of the aggregate Exercise Price (other than in the case of a cashless exercise) is received within the earlier of (i) one (1) Trading Day and (ii) the number of Trading Days comprising the Standard Settlement Period following delivery of the Notice of Exercise. The Company agrees to maintain a Transfer Agent that is a participant in the FAST program so long as this Warrant remains outstanding and exercisable. As used herein, “</w:t>
      </w:r>
      <w:r>
        <w:rPr>
          <w:rFonts w:ascii="Times New Roman;Times;Serif" w:hAnsi="Times New Roman;Times;Serif"/>
          <w:b/>
          <w:i w:val="false"/>
          <w:caps w:val="false"/>
          <w:smallCaps w:val="false"/>
          <w:sz w:val="20"/>
          <w:u w:val="single"/>
        </w:rPr>
        <w:t>Standard Settlement Period</w:t>
      </w:r>
      <w:r>
        <w:rPr>
          <w:rFonts w:ascii="Times New Roman;Times;Serif" w:hAnsi="Times New Roman;Times;Serif"/>
          <w:b w:val="false"/>
          <w:i w:val="false"/>
          <w:caps w:val="false"/>
          <w:smallCaps w:val="false"/>
          <w:sz w:val="20"/>
        </w:rPr>
        <w:t>” means the standard settlement period, expressed in a number of Trading Days, on the Company’s primary Trading Market with respect to the Common Stock as in effect on the date of delivery of the Notice of Exercise.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2.5.2. </w:t>
      </w:r>
      <w:r>
        <w:rPr>
          <w:rFonts w:ascii="Times New Roman;Times;Serif" w:hAnsi="Times New Roman;Times;Serif"/>
          <w:b/>
          <w:i w:val="false"/>
          <w:caps w:val="false"/>
          <w:smallCaps w:val="false"/>
          <w:sz w:val="20"/>
          <w:u w:val="single"/>
        </w:rPr>
        <w:t>Delivery of New Warrants Upon Exercise</w:t>
      </w:r>
      <w:r>
        <w:rPr>
          <w:rFonts w:ascii="Times New Roman;Times;Serif" w:hAnsi="Times New Roman;Times;Serif"/>
          <w:b w:val="false"/>
          <w:i w:val="false"/>
          <w:caps w:val="false"/>
          <w:smallCaps w:val="false"/>
          <w:sz w:val="20"/>
        </w:rPr>
        <w:t>. If this Warrant shall have been exercised in part, the Company shall, at the request of a Holder and upon surrender of this Warrant certificate, at the time of delivery of the Warrant Shares, deliver to the Holder a new Warrant evidencing the rights of the Holder to purchase the unpurchased Warrant Shares called for by this Warrant, which new Warrant shall in all other respects be identical with this Warrant.</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6</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2.5.3. </w:t>
      </w:r>
      <w:r>
        <w:rPr>
          <w:rFonts w:ascii="Times New Roman;Times;Serif" w:hAnsi="Times New Roman;Times;Serif"/>
          <w:b/>
          <w:i w:val="false"/>
          <w:caps w:val="false"/>
          <w:smallCaps w:val="false"/>
          <w:sz w:val="20"/>
          <w:u w:val="single"/>
        </w:rPr>
        <w:t>Rescission Rights</w:t>
      </w:r>
      <w:r>
        <w:rPr>
          <w:rFonts w:ascii="Times New Roman;Times;Serif" w:hAnsi="Times New Roman;Times;Serif"/>
          <w:b w:val="false"/>
          <w:i w:val="false"/>
          <w:caps w:val="false"/>
          <w:smallCaps w:val="false"/>
          <w:sz w:val="20"/>
        </w:rPr>
        <w:t>. If the Company fails to cause the Transfer Agent to transmit to the Holder the Warrant Shares pursuant to Section 2.5.1 by the Warrant Share Delivery Date, then the Holder will have the right to rescind such exercise.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2.5.4. </w:t>
      </w:r>
      <w:r>
        <w:rPr>
          <w:rFonts w:ascii="Times New Roman;Times;Serif" w:hAnsi="Times New Roman;Times;Serif"/>
          <w:b/>
          <w:i w:val="false"/>
          <w:caps w:val="false"/>
          <w:smallCaps w:val="false"/>
          <w:sz w:val="20"/>
          <w:u w:val="single"/>
        </w:rPr>
        <w:t>No Fractional Shares or Scrip</w:t>
      </w:r>
      <w:r>
        <w:rPr>
          <w:rFonts w:ascii="Times New Roman;Times;Serif" w:hAnsi="Times New Roman;Times;Serif"/>
          <w:b w:val="false"/>
          <w:i w:val="false"/>
          <w:caps w:val="false"/>
          <w:smallCaps w:val="false"/>
          <w:sz w:val="20"/>
        </w:rPr>
        <w:t>. No fractional shares or scrip representing fractional shares shall be issued upon the exercise of this Warrant. As to any fraction of a share which the Holder would otherwise be entitled to purchase upon such exercise, the Company shall, at its election, either pay a cash adjustment in respect of such final fraction in an amount equal to such fraction multiplied by the Exercise Price or round up to the next whole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2.5.5. </w:t>
      </w:r>
      <w:r>
        <w:rPr>
          <w:rFonts w:ascii="Times New Roman;Times;Serif" w:hAnsi="Times New Roman;Times;Serif"/>
          <w:b/>
          <w:i w:val="false"/>
          <w:caps w:val="false"/>
          <w:smallCaps w:val="false"/>
          <w:sz w:val="20"/>
          <w:u w:val="single"/>
        </w:rPr>
        <w:t>Closing of Books</w:t>
      </w:r>
      <w:r>
        <w:rPr>
          <w:rFonts w:ascii="Times New Roman;Times;Serif" w:hAnsi="Times New Roman;Times;Serif"/>
          <w:b w:val="false"/>
          <w:i w:val="false"/>
          <w:caps w:val="false"/>
          <w:smallCaps w:val="false"/>
          <w:sz w:val="20"/>
        </w:rPr>
        <w:t>. The Company will not close its stockholder books or records in any manner which prevents the timely exercise of this Warrant, pursuant to the terms 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2.6. </w:t>
      </w:r>
      <w:r>
        <w:rPr>
          <w:rFonts w:ascii="Times New Roman;Times;Serif" w:hAnsi="Times New Roman;Times;Serif"/>
          <w:b/>
          <w:i w:val="false"/>
          <w:caps w:val="false"/>
          <w:smallCaps w:val="false"/>
          <w:sz w:val="20"/>
          <w:u w:val="single"/>
        </w:rPr>
        <w:t>Holder</w:t>
      </w:r>
      <w:r>
        <w:rPr>
          <w:rFonts w:ascii="Times New Roman;Times;Serif" w:hAnsi="Times New Roman;Times;Serif"/>
          <w:b w:val="false"/>
          <w:i w:val="false"/>
          <w:caps w:val="false"/>
          <w:smallCaps w:val="false"/>
          <w:sz w:val="20"/>
          <w:u w:val="single"/>
        </w:rPr>
        <w:t>’</w:t>
      </w:r>
      <w:r>
        <w:rPr>
          <w:rFonts w:ascii="Times New Roman;Times;Serif" w:hAnsi="Times New Roman;Times;Serif"/>
          <w:b/>
          <w:i w:val="false"/>
          <w:caps w:val="false"/>
          <w:smallCaps w:val="false"/>
          <w:sz w:val="20"/>
          <w:u w:val="single"/>
        </w:rPr>
        <w:t>s Exercise Limitations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2.6.1. The Company shall not effect any exercise of this Warrant, and a Holder shall not have the right to exercise any portion of this Warrant, pursuant to Section 2 or otherwise, to the extent that after giving effect to such issuance after exercise as set forth on the applicable Notice of Exercise, the Holder (together with the Holder’s Affiliates, any other Persons acting as a group together with the Holder or any of the Holder’s Affiliates, and any other Persons whose beneficial ownership of the Company’s Common Stock would or could be aggregated with the Holder’s and/or any other Attribution Parties for purposes of Section 13(d) or Section 16 of the Exchange Act (such Persons, “</w:t>
      </w:r>
      <w:r>
        <w:rPr>
          <w:rFonts w:ascii="Times New Roman;Times;Serif" w:hAnsi="Times New Roman;Times;Serif"/>
          <w:b/>
          <w:i w:val="false"/>
          <w:caps w:val="false"/>
          <w:smallCaps w:val="false"/>
          <w:sz w:val="20"/>
          <w:u w:val="single"/>
        </w:rPr>
        <w:t>Attribution Parties</w:t>
      </w:r>
      <w:r>
        <w:rPr>
          <w:rFonts w:ascii="Times New Roman;Times;Serif" w:hAnsi="Times New Roman;Times;Serif"/>
          <w:b w:val="false"/>
          <w:i w:val="false"/>
          <w:caps w:val="false"/>
          <w:smallCaps w:val="false"/>
          <w:sz w:val="20"/>
        </w:rPr>
        <w:t>”)), would beneficially own in excess of the Beneficial Ownership Limitation (as defined below). For purposes of the foregoing sentence, the number of shares of Common Stock beneficially owned by the Holder and its Affiliates and Attribution Parties shall include the number of shares of Common Stock held and/or beneficially owned by the Holder together with the Attribution Parties plus the number of shares of Common Stock issuable upon exercise of this Warrant with respect to which such determination is being made, but shall exclude the number of shares of Common Stock which would be issuable upon (i) exercise of the remaining, unexercised portion of this Warrant held and/or beneficially owned by the Holder or any of its Affiliates or Attribution Parties and (ii) exercise or conversion of the unexercised or unconverted portion of any other securities of the Company (including, without limitation, any other Common Stock Equivalents) subject to a limitation on conversion or exercise analogous to the limitation contained herein held and/or beneficially owned by the Holder or any of its Affiliates or Attribution Parties. Except as set forth in the preceding sentence, for purposes of this Section 2.6, beneficial ownership shall be calculated in accordance with Section 13(d) of the Exchange Act and the rules and regulations promulgated thereunder. To the extent that the limitation contained in this Section 2.6 applies, the determination of whether this Warrant is exercisable (in relation to other securities owned by the Holder together with any Affiliates and Attribution Parties) and of which portion of this Warrant is exercisable shall be in the sole discretion of the Holder, and the submission of a Notice of Exercise shall be deemed to be the Holder’s determination of whether this Warrant is exercisable (in relation to other securities owned by the Holder together with any Affiliates and Attribution Parties) and of which portion of this Warrant is exercisable, in each case subject to the Beneficial Ownership Limitation, and the Company shall have no obligation to verify or confirm the accuracy of such determination, and a submission of a Notice of Exercise shall be deemed a representation and warranty by the Holder of the foregoing determination. In addition, a determination as to any group status as contemplated above shall be determined in accordance with Section 13(d) of the Exchange Act and the rules and regulations promulgated thereunder. For purposes of this Section 2.6, in determining the number of outstanding shares of Common Stock, a Holder may rely on the number of outstanding shares of Common Stock as reflected in (A) the Company’s most recent periodic or annual report filed with the Commission, as the case may be, (B) a more recent public announcement by the Company or (C) a more recent written notice by the Company or the Transfer Agent setting forth the number of shares of Common Stock outstanding (such issued and outstanding shares, the “</w:t>
      </w:r>
      <w:r>
        <w:rPr>
          <w:rFonts w:ascii="Times New Roman;Times;Serif" w:hAnsi="Times New Roman;Times;Serif"/>
          <w:b/>
          <w:i w:val="false"/>
          <w:caps w:val="false"/>
          <w:smallCaps w:val="false"/>
          <w:sz w:val="20"/>
        </w:rPr>
        <w:t>Reported Outstanding Share Number</w:t>
      </w:r>
      <w:r>
        <w:rPr>
          <w:rFonts w:ascii="Times New Roman;Times;Serif" w:hAnsi="Times New Roman;Times;Serif"/>
          <w:b w:val="false"/>
          <w:i w:val="false"/>
          <w:caps w:val="false"/>
          <w:smallCaps w:val="false"/>
          <w:sz w:val="20"/>
        </w:rPr>
        <w:t>”). Upon the written or oral request of a Holder, the Company shall within one (1) Trading Day confirm orally and in writing to the Holder the number of shares of Common Stock then outstanding. In any case, the number of outstanding shares of Common Stock shall be determined after giving effect to the conversion or exercise of securities of the Company, including this Warrant, by the Holder or its Affiliates or Attribution Parties since the date as of which such number of outstanding shares of Common Stock was reported. The Holder shall disclose to the Company the number of shares of Common Stock that it, together with the Attribution Parties holds and/or beneficially owns and has the right to acquire through the exercise of derivative securities and any limitations on exercise or conversion analogous to the limitation contained herein contemporaneously or immediately prior to submitting a Notice of Exercise for the relevant Warrant. If the Company receives a Notice of Exercise from the Holder at a time when the actual number of outstanding shares of Common Stock is less than the Reported Outstanding Share Number, the Company shall (i) notify the Holder in writing of the number of shares of Common Stock then outstanding and, to the extent that such Exercise Notice would otherwise cause the Holder’s, together with the Attribution Parties’, beneficial ownership, as determined pursuant to this Section 2.6, to exceed the Beneficial Ownership Limitation, the Holder must notify the Company of a reduced number of Warrant Shares to be purchased pursuant to such Notice of Exercise (the number of shares by which such purchase is reduced, the “</w:t>
      </w:r>
      <w:r>
        <w:rPr>
          <w:rFonts w:ascii="Times New Roman;Times;Serif" w:hAnsi="Times New Roman;Times;Serif"/>
          <w:b/>
          <w:i w:val="false"/>
          <w:caps w:val="false"/>
          <w:smallCaps w:val="false"/>
          <w:sz w:val="20"/>
          <w:u w:val="single"/>
        </w:rPr>
        <w:t>Reduction Shares</w:t>
      </w:r>
      <w:r>
        <w:rPr>
          <w:rFonts w:ascii="Times New Roman;Times;Serif" w:hAnsi="Times New Roman;Times;Serif"/>
          <w:b w:val="false"/>
          <w:i w:val="false"/>
          <w:caps w:val="false"/>
          <w:smallCaps w:val="false"/>
          <w:sz w:val="20"/>
        </w:rPr>
        <w:t>”) and (ii) as soon as reasonably practicable, the Company shall return to the Holder any exercise price paid by the Holder for the Reduction Shares. In the event that the issuance of Common Stock to the Holder upon exercise of this Warrant results in the Holder, together with the Attribution Parties, being deemed to beneficially own, in the aggregate, more than the Beneficial Ownership Limitation of the number of outstanding shares of Common Stock (as determined under Section 13(d) of the Exchange Act), the number of shares so issued by which the Holder’s, together with the Attribution Parties’, aggregate beneficial ownership exceeds the Beneficial Ownership Limitation (the “</w:t>
      </w:r>
      <w:r>
        <w:rPr>
          <w:rFonts w:ascii="Times New Roman;Times;Serif" w:hAnsi="Times New Roman;Times;Serif"/>
          <w:b/>
          <w:i w:val="false"/>
          <w:caps w:val="false"/>
          <w:smallCaps w:val="false"/>
          <w:sz w:val="20"/>
          <w:u w:val="single"/>
        </w:rPr>
        <w:t>Excess Shares</w:t>
      </w:r>
      <w:r>
        <w:rPr>
          <w:rFonts w:ascii="Times New Roman;Times;Serif" w:hAnsi="Times New Roman;Times;Serif"/>
          <w:b w:val="false"/>
          <w:i w:val="false"/>
          <w:caps w:val="false"/>
          <w:smallCaps w:val="false"/>
          <w:sz w:val="20"/>
        </w:rPr>
        <w:t>”) shall be deemed null and void and shall be cancelled ab initio, and the Holder and/or the Attribution Parties shall not have the power to vote or to transfer the Excess Shares. As soon as reasonably practicable after the issuance of the Excess Shares has been deemed null and void, the Company shall return to the Holder the exercise price paid by the Holder for the Excess Shares. The “</w:t>
      </w:r>
      <w:r>
        <w:rPr>
          <w:rFonts w:ascii="Times New Roman;Times;Serif" w:hAnsi="Times New Roman;Times;Serif"/>
          <w:b/>
          <w:i w:val="false"/>
          <w:caps w:val="false"/>
          <w:smallCaps w:val="false"/>
          <w:sz w:val="20"/>
          <w:u w:val="single"/>
        </w:rPr>
        <w:t>Beneficial Ownership Limitation</w:t>
      </w:r>
      <w:r>
        <w:rPr>
          <w:rFonts w:ascii="Times New Roman;Times;Serif" w:hAnsi="Times New Roman;Times;Serif"/>
          <w:b w:val="false"/>
          <w:i w:val="false"/>
          <w:caps w:val="false"/>
          <w:smallCaps w:val="false"/>
          <w:sz w:val="20"/>
        </w:rPr>
        <w:t>” shall be 4.99% (or, upon election by a Holder prior to the issuance of any Warrants, 9.99%) of the number of shares of Common Stock outstanding immediately after giving effect to the issuance of shares of Common Stock issuable upon exercise of this Warrant. The Holder, upon notice to the Company, may increase or decrease the Beneficial Ownership Limitation provisions of this Section 2.6, provided that the Beneficial Ownership Limitation in no event exceeds 9.99% of the number of shares of Common Stock outstanding immediately after giving effect to the issuance of shares of Common Stock upon exercise of this Warrant held by the Holder and the provisions of this Section 2.6 shall continue to apply. Any increase in the Beneficial Ownership Limitation will not be effective until sixty-one (61) Calendar Days after such notice is delivered to the Company. The provisions of this paragraph shall be construed and implemented in a manner otherwise than in strict conformity with the terms of this Section 2.6 to correct this paragraph (or any portion hereof) which may be defective or inconsistent with the intended Beneficial Ownership Limitation herein contained or to make changes or supplements necessary or desirable to properly give effect to such limitation. The limitations contained in this paragraph may not be waived and shall apply to a successor holder of this Warrant.</w:t>
      </w:r>
    </w:p>
    <w:p>
      <w:pPr>
        <w:pStyle w:val="TextBody"/>
        <w:bidi w:val="0"/>
        <w:spacing w:before="0" w:after="0"/>
        <w:ind w:left="720" w:right="0" w:firstLine="54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7</w:t>
            </w:r>
          </w:p>
        </w:tc>
      </w:tr>
    </w:tbl>
    <w:p>
      <w:pPr>
        <w:pStyle w:val="TextBody"/>
        <w:bidi w:val="0"/>
        <w:spacing w:before="0" w:after="0"/>
        <w:ind w:left="0" w:right="0" w:hanging="0"/>
        <w:jc w:val="left"/>
        <w:rPr/>
      </w:pPr>
      <w:r>
        <w:rPr/>
        <w:t> </w:t>
      </w:r>
    </w:p>
    <w:p>
      <w:pPr>
        <w:pStyle w:val="TextBody"/>
        <w:bidi w:val="0"/>
        <w:spacing w:before="0" w:after="0"/>
        <w:ind w:left="720" w:right="0" w:firstLine="54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2.6.2. This Section 2.6 shall not restrict the number of shares of Common Stock which a Holder or the Attribution Parties may receive or beneficially own in order to determine the amount of securities or other consideration that such Holder or the Attribution Parties may receive in the event of a Fundamental Transaction as contemplated in Section 3.4 of this Warrant. For purposes of clarity, the shares of Common Stock issuable pursuant to the terms of this Warrant in excess of the Beneficial Ownership Limitation shall not be deemed to be beneficially owned by the Holder or the Attribution Parties for any purpose including for purposes of Section 13(d) of the Exchange Act and the rules promulgated thereunder or Section 16 of the Exchange Act and the rules promulgated thereunder, including Rule 16a-1(a)(1). No prior inability to exercise this Warrant pursuant to this Section 2.6 shall have any effect on the applicability of the provisions of this Section 2.6 with respect to any subsequent determination of exercisability.</w:t>
      </w:r>
    </w:p>
    <w:p>
      <w:pPr>
        <w:pStyle w:val="TextBody"/>
        <w:bidi w:val="0"/>
        <w:spacing w:before="0" w:after="0"/>
        <w:ind w:left="0" w:right="0" w:hanging="0"/>
        <w:jc w:val="both"/>
        <w:rPr>
          <w:caps w:val="false"/>
          <w:smallCaps w:val="false"/>
        </w:rPr>
      </w:pPr>
      <w:r>
        <w:rPr>
          <w:caps w:val="false"/>
          <w:smallCaps w:val="false"/>
        </w:rPr>
        <w:t> </w:t>
      </w:r>
    </w:p>
    <w:tbl>
      <w:tblPr>
        <w:tblW w:w="1990" w:type="dxa"/>
        <w:jc w:val="left"/>
        <w:tblInd w:w="0" w:type="dxa"/>
        <w:tblLayout w:type="fixed"/>
        <w:tblCellMar>
          <w:top w:w="0" w:type="dxa"/>
          <w:left w:w="0" w:type="dxa"/>
          <w:bottom w:w="0" w:type="dxa"/>
          <w:right w:w="0" w:type="dxa"/>
        </w:tblCellMar>
      </w:tblPr>
      <w:tblGrid>
        <w:gridCol w:w="185"/>
        <w:gridCol w:w="1805"/>
      </w:tblGrid>
      <w:tr>
        <w:trPr/>
        <w:tc>
          <w:tcPr>
            <w:tcW w:w="1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18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u w:val="single"/>
              </w:rPr>
              <w:t>Certain Adjustments</w:t>
            </w:r>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 </w:t>
      </w:r>
      <w:r>
        <w:rPr>
          <w:rFonts w:ascii="Times New Roman;Times;Serif" w:hAnsi="Times New Roman;Times;Serif"/>
          <w:b/>
          <w:i w:val="false"/>
          <w:caps w:val="false"/>
          <w:smallCaps w:val="false"/>
          <w:sz w:val="20"/>
          <w:u w:val="single"/>
        </w:rPr>
        <w:t>Stock Dividends and Splits</w:t>
      </w:r>
      <w:r>
        <w:rPr>
          <w:rFonts w:ascii="Times New Roman;Times;Serif" w:hAnsi="Times New Roman;Times;Serif"/>
          <w:b w:val="false"/>
          <w:i w:val="false"/>
          <w:caps w:val="false"/>
          <w:smallCaps w:val="false"/>
          <w:sz w:val="20"/>
        </w:rPr>
        <w:t>. If the Company, at any time while this Warrant is outstanding: (i) pays a stock dividend or otherwise makes a distribution or distributions on shares of Common Stock or any other equity or equity equivalent securities payable in shares of Common Stock (which, for avoidance of doubt, shall not include any shares of Common Stock issued by the Company upon exercise of this Warrant), (ii) subdivides outstanding shares of Common Stock into a larger number of shares, (iii) combines (including by way of reverse stock split) outstanding shares of Common Stock into a smaller number of shares, or (iv) issues by reclassification of shares of Common Stock any shares of capital stock of the Company, then in each case the Exercise Price shall be multiplied by a fraction of which the numerator shall be the number of shares of Common Stock (excluding treasury shares, if any) outstanding immediately before such event and of which the denominator shall be the number of shares of Common Stock outstanding immediately after such event, and the number of Shares issuable upon exercise of this Warrant shall be proportionately adjusted such that the aggregate Exercise Price of this Warrant shall remain unchanged. Any adjustment made pursuant to this Section 3.1 shall become effective immediately after the record date for the determination of stockholders entitled to receive such dividend or distribution and shall become effective immediately after the effective date in the case of a subdivision, combination or re-classification.</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8</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3.2. </w:t>
      </w:r>
      <w:r>
        <w:rPr>
          <w:rFonts w:ascii="Times New Roman;Times;Serif" w:hAnsi="Times New Roman;Times;Serif"/>
          <w:b/>
          <w:i w:val="false"/>
          <w:caps w:val="false"/>
          <w:smallCaps w:val="false"/>
          <w:sz w:val="20"/>
          <w:u w:val="single"/>
        </w:rPr>
        <w:t>Subsequent Rights Offerings</w:t>
      </w:r>
      <w:r>
        <w:rPr>
          <w:rFonts w:ascii="Times New Roman;Times;Serif" w:hAnsi="Times New Roman;Times;Serif"/>
          <w:b w:val="false"/>
          <w:i w:val="false"/>
          <w:caps w:val="false"/>
          <w:smallCaps w:val="false"/>
          <w:sz w:val="20"/>
        </w:rPr>
        <w:t>. During such time as this Warrant is outstanding, in addition to any adjustments pursuant to Section 3.1 above, if at any time the Company grants, issues or sells any Common Stock Equivalents or rights to purchase stock, warrants, securities or other property pro rata to the record holders of any class of shares of Common Stock (the “</w:t>
      </w:r>
      <w:r>
        <w:rPr>
          <w:rFonts w:ascii="Times New Roman;Times;Serif" w:hAnsi="Times New Roman;Times;Serif"/>
          <w:b/>
          <w:i w:val="false"/>
          <w:caps w:val="false"/>
          <w:smallCaps w:val="false"/>
          <w:sz w:val="20"/>
          <w:u w:val="single"/>
        </w:rPr>
        <w:t>Purchase Rights</w:t>
      </w:r>
      <w:r>
        <w:rPr>
          <w:rFonts w:ascii="Times New Roman;Times;Serif" w:hAnsi="Times New Roman;Times;Serif"/>
          <w:b w:val="false"/>
          <w:i w:val="false"/>
          <w:caps w:val="false"/>
          <w:smallCaps w:val="false"/>
          <w:sz w:val="20"/>
        </w:rPr>
        <w:t>”), then the Holder will be entitled to acquire, upon the terms applicable to such Purchase Rights, the aggregate Purchase Rights which the Holder could have acquired if the Holder had held the number of shares of Common Stock acquirable upon complete exercise of this Warrant (without regard to any limitations or restrictions on exercise hereof, including without limitation, the Beneficial Ownership Limitation) immediately before the date on which a record is taken for the grant, issuance or sale of such Purchase Rights, or, if no such record is taken, the date as of which the record holders of shares of Common Stock are to be determined for the grant, issue or sale of such Purchase Rights (provided, however, that, to the extent that the Holder’s right to participate in any such Purchase Right would result in the Holder exceeding the Beneficial Ownership Limitation, then the Holder shall not be entitled to participate in such Purchase Right to such extent (or beneficial ownership of such shares of Common Stock as a result of such Purchase Right to such extent) and at the Holder’s election, in its sole discretion, either (1) such Purchase Right to such extent shall be held in abeyance for the Holder until such time, if ever, as its right thereto would not result in the Holder exceeding the Beneficial Ownership Limitation), at which time or times the Holder shall be granted such right (and any Purchase Right granted, issued or sold on such initial Purchase Right or on any subsequent Purchase Right to be held similarly in abeyance) to the same extent as if there had been no such limitation or (2) the Company shall offer the Holder the right upon exercise of such Purchase Right to acquire a security (e.g. a pre-funded warrant) that would not result in the Holder and the other Attribution Parties exceeding the Beneficial Ownership Limitation but will otherwise to the extent possible have economic and other rights, preferences and privileges substantially consistent and on par with the securities or other property issuable upon exercise of the originally offered Purchase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3.3. </w:t>
      </w:r>
      <w:r>
        <w:rPr>
          <w:rFonts w:ascii="Times New Roman;Times;Serif" w:hAnsi="Times New Roman;Times;Serif"/>
          <w:b/>
          <w:i w:val="false"/>
          <w:caps w:val="false"/>
          <w:smallCaps w:val="false"/>
          <w:sz w:val="20"/>
          <w:u w:val="single"/>
        </w:rPr>
        <w:t>Pro Rata Distributions</w:t>
      </w:r>
      <w:r>
        <w:rPr>
          <w:rFonts w:ascii="Times New Roman;Times;Serif" w:hAnsi="Times New Roman;Times;Serif"/>
          <w:b w:val="false"/>
          <w:i w:val="false"/>
          <w:caps w:val="false"/>
          <w:smallCaps w:val="false"/>
          <w:sz w:val="20"/>
        </w:rPr>
        <w:t>. During such time as this Warrant is outstanding, if the Company shall declare or make any dividend or other distribution of its assets (or right to acquire its assets) to holders of shares of Common Stock, by way of return of capital or otherwise (including, without limitation, any distribution of cash, stock or other securities, property, options, evidence of indebtedness or any other assets by way of a dividend, spin off, reclassification, corporate rearrangement, scheme of arrangement or other similar transaction) (a “</w:t>
      </w:r>
      <w:r>
        <w:rPr>
          <w:rFonts w:ascii="Times New Roman;Times;Serif" w:hAnsi="Times New Roman;Times;Serif"/>
          <w:b/>
          <w:i w:val="false"/>
          <w:caps w:val="false"/>
          <w:smallCaps w:val="false"/>
          <w:sz w:val="20"/>
          <w:u w:val="single"/>
        </w:rPr>
        <w:t>Distribution</w:t>
      </w:r>
      <w:r>
        <w:rPr>
          <w:rFonts w:ascii="Times New Roman;Times;Serif" w:hAnsi="Times New Roman;Times;Serif"/>
          <w:b w:val="false"/>
          <w:i w:val="false"/>
          <w:caps w:val="false"/>
          <w:smallCaps w:val="false"/>
          <w:sz w:val="20"/>
        </w:rPr>
        <w:t>”), at any time after the issuance of this Warrant, then, in each such case, the Holder shall be entitled to participate in such Distribution to the same extent that the Holder would have participated therein if the Holder had held the number of shares of Common Stock acquirable upon complete exercise of this Warrant (without regard to any limitations or restrictions on exercise hereof, including without limitation, the Beneficial Ownership Limitation) immediately before the date of which a record is taken for such Distribution, or, if no such record is taken, the date as of which the record holders of shares of Common Stock are to be determined for the participation in such Distribution (provided, however, that, to the extent that the Holder’s right to participate in any such Distribution would result in the Holder exceeding the Beneficial Ownership Limitation, then the Holder shall not be entitled to participate in such Distribution to such extent (or in the beneficial ownership of any shares of Common Stock as a result of such Distribution to such extent) and the portion of such Distribution shall be held in abeyance for the benefit of the Holder until such time, if ever, as its right thereto would not result in the Holder exceeding the Beneficial Ownership Limitation). To the extent that this Warrant has not been partially or completely exercised at the time of such initial Distribution or any subsequent Distributions, such portion of the Distribution shall be held in abeyance for the benefit of the Holder until the Holder has exercised this Warrant.</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9</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3.4. </w:t>
      </w:r>
      <w:r>
        <w:rPr>
          <w:rFonts w:ascii="Times New Roman;Times;Serif" w:hAnsi="Times New Roman;Times;Serif"/>
          <w:b/>
          <w:i w:val="false"/>
          <w:caps w:val="false"/>
          <w:smallCaps w:val="false"/>
          <w:sz w:val="20"/>
          <w:u w:val="single"/>
        </w:rPr>
        <w:t>Fundamental Transactions</w:t>
      </w:r>
      <w:r>
        <w:rPr>
          <w:rFonts w:ascii="Times New Roman;Times;Serif" w:hAnsi="Times New Roman;Times;Serif"/>
          <w:b w:val="false"/>
          <w:i w:val="false"/>
          <w:caps w:val="false"/>
          <w:smallCaps w:val="false"/>
          <w:sz w:val="20"/>
        </w:rPr>
        <w:t>. If, at any time while this Warrant is issued and outstanding (i) the Company effects any merger or consolidation of the Company with or into another Person, in which the Company is not the surviving entity or in which the stockholders of the Company immediately prior to such merger or consolidation do not own, directly or indirectly, at least 50% of the voting power of the surviving entity immediately after such merger or consolidation, (ii) the Company effects any sale to another Person of all or substantially all of its assets in one transaction or a series of related transactions, (iii) pursuant to any tender offer or exchange offer (whether by the Company or another Person), holders of capital stock tender shares representing more than 50% of the voting power of the capital stock of the Company and the Company or such other Person, as applicable, accepts such tender for payment, (iv) the Company consummates a share purchase agreement or other business combination (including, without limitation, a reorganization, recapitalization, spin-off or scheme of arrangement) with another Person whereby such other Person acquires more than 50% of the voting power of the capital stock of the Company (except for any such transaction in which the stockholders of the Company immediately prior to such transaction maintain, in substantially the same proportions, the voting power of such Person immediately after the transaction) or (v) the Company effects any reclassification of the shares of Common Stock or any compulsory share exchange pursuant to which the shares of Common Stock are effectively converted into or exchanged for other securities, cash or property (other than as a result of a subdivision or combination of shares of Common Stock covered by Section 3.1 above) (in any such case, a “</w:t>
      </w:r>
      <w:r>
        <w:rPr>
          <w:rFonts w:ascii="Times New Roman;Times;Serif" w:hAnsi="Times New Roman;Times;Serif"/>
          <w:b/>
          <w:i w:val="false"/>
          <w:caps w:val="false"/>
          <w:smallCaps w:val="false"/>
          <w:sz w:val="20"/>
          <w:u w:val="single"/>
        </w:rPr>
        <w:t>Fundamental Transaction</w:t>
      </w:r>
      <w:r>
        <w:rPr>
          <w:rFonts w:ascii="Times New Roman;Times;Serif" w:hAnsi="Times New Roman;Times;Serif"/>
          <w:b w:val="false"/>
          <w:i w:val="false"/>
          <w:caps w:val="false"/>
          <w:smallCaps w:val="false"/>
          <w:sz w:val="20"/>
        </w:rPr>
        <w:t>”), then following such Fundamental Transaction the Holder shall have the right to receive, upon exercise of this Warrant, the same amount and kind of securities, cash or property as it would have been entitled to receive upon the occurrence of such Fundamental Transaction if it had been, immediately prior to such Fundamental Transaction, the holder of the number of Warrant Shares then issuable upon exercise in full of this Warrant (including any Distributions or Purchase Rights then held in abeyance pursuant to Sections 3.2 or 3.3 above) without regard to any limitations on exercise contained herein (the “</w:t>
      </w:r>
      <w:r>
        <w:rPr>
          <w:rFonts w:ascii="Times New Roman;Times;Serif" w:hAnsi="Times New Roman;Times;Serif"/>
          <w:b/>
          <w:i w:val="false"/>
          <w:caps w:val="false"/>
          <w:smallCaps w:val="false"/>
          <w:sz w:val="20"/>
          <w:u w:val="single"/>
        </w:rPr>
        <w:t>Alternate Consideration</w:t>
      </w:r>
      <w:r>
        <w:rPr>
          <w:rFonts w:ascii="Times New Roman;Times;Serif" w:hAnsi="Times New Roman;Times;Serif"/>
          <w:b w:val="false"/>
          <w:i w:val="false"/>
          <w:caps w:val="false"/>
          <w:smallCaps w:val="false"/>
          <w:sz w:val="20"/>
        </w:rPr>
        <w:t>”). The Company shall not effect any Fundamental Transaction in which the Company is not the surviving entity or the Alternate Consideration includes securities of another Person unless (i) the Alternate Consideration consists solely of cash, solely of Marketable Securities or a combination of cash and Marketable Securities and the Company provides for the simultaneous “cashless exercise” of this Warrant pursuant to Section 2.3 above or (ii) prior to, simultaneously with or promptly following the consummation thereof, any successor to the Company, surviving entity or other Person (including any purchaser of assets of the Company) shall assume the obligation to deliver to the Holder such Alternate Consideration as, in accordance with the foregoing provisions, the Holder may be entitled to receive, and the other obligations under this Warrant. The provisions of this Section 3.4 shall similarly apply to subsequent transactions analogous of a Fundamental Transaction type.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alternative, in the event of a Fundamental Transaction other than a transaction where the consideration payable to the holders of shares of Common Stock consists solely of cash, the Holder shall have the right, at its written election, to either receive Alternate Consideration in the form of a replacement warrant or other written instrument substantially similar in form and substance to this Warrant issued by the successor entity on substantially equivalent terms, adjusted to preserve the economic value of the Warrant immediately prior to such Fundamental Transaction, including, without limitation, an adjusted exercise price equal to the value for the shares of Common Stock reflected by the terms of such Fundamental Transaction, and exercisable for a corresponding number of shares of capital stock equivalent to the shares of Common Stock acquirable and receivable upon exercise of this Warrant (without regard to any limitations on the exercise of this Warrant) prior to such Fundamental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3.5. </w:t>
      </w:r>
      <w:r>
        <w:rPr>
          <w:rFonts w:ascii="Times New Roman;Times;Serif" w:hAnsi="Times New Roman;Times;Serif"/>
          <w:b/>
          <w:i w:val="false"/>
          <w:caps w:val="false"/>
          <w:smallCaps w:val="false"/>
          <w:sz w:val="20"/>
          <w:u w:val="single"/>
        </w:rPr>
        <w:t>Calculations</w:t>
      </w:r>
      <w:r>
        <w:rPr>
          <w:rFonts w:ascii="Times New Roman;Times;Serif" w:hAnsi="Times New Roman;Times;Serif"/>
          <w:b w:val="false"/>
          <w:i w:val="false"/>
          <w:caps w:val="false"/>
          <w:smallCaps w:val="false"/>
          <w:sz w:val="20"/>
        </w:rPr>
        <w:t>. All calculations under this Section 3 shall be made to the nearest cent or the nearest 1/100th of a share, as the case may be. For purposes of this Section 3, the number of shares of Common Stock deemed to be issued and outstanding as of a given date shall be the sum of the number of shares of Common Stock (excluding treasury shares, if any) issued and outstanding.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3.6. </w:t>
      </w:r>
      <w:r>
        <w:rPr>
          <w:rFonts w:ascii="Times New Roman;Times;Serif" w:hAnsi="Times New Roman;Times;Serif"/>
          <w:b/>
          <w:i w:val="false"/>
          <w:caps w:val="false"/>
          <w:smallCaps w:val="false"/>
          <w:sz w:val="20"/>
          <w:u w:val="single"/>
        </w:rPr>
        <w:t>Notice to Holder</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3.6.1. </w:t>
      </w:r>
      <w:r>
        <w:rPr>
          <w:rFonts w:ascii="Times New Roman;Times;Serif" w:hAnsi="Times New Roman;Times;Serif"/>
          <w:b/>
          <w:i w:val="false"/>
          <w:caps w:val="false"/>
          <w:smallCaps w:val="false"/>
          <w:sz w:val="20"/>
          <w:u w:val="single"/>
        </w:rPr>
        <w:t>Adjustment to Exercise Price</w:t>
      </w:r>
      <w:r>
        <w:rPr>
          <w:rFonts w:ascii="Times New Roman;Times;Serif" w:hAnsi="Times New Roman;Times;Serif"/>
          <w:b w:val="false"/>
          <w:i w:val="false"/>
          <w:caps w:val="false"/>
          <w:smallCaps w:val="false"/>
          <w:sz w:val="20"/>
        </w:rPr>
        <w:t>. Whenever the Exercise Price is adjusted pursuant to any provision of this Section 3, the Company shall at its expense promptly deliver to the Holder a written notice setting forth the Exercise Price after such adjustment and any resulting adjustment to the number of Warrant Shares in good faith and setting forth a brief statement of the facts requiring such adjustment and showing in reasonable detail facts upon which such adjustment is based. Upon written request, the Company shall promptly deliver a copy of a certificate setting forth the adjusted Exercise Price and adjusted number or type of Warrant Shares or other securities issuable upon exercise of this Warrant (as applicable), to the Holder and to the Company’s Transfer Agent.</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10</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3.6.2. </w:t>
      </w:r>
      <w:r>
        <w:rPr>
          <w:rFonts w:ascii="Times New Roman;Times;Serif" w:hAnsi="Times New Roman;Times;Serif"/>
          <w:b/>
          <w:i w:val="false"/>
          <w:caps w:val="false"/>
          <w:smallCaps w:val="false"/>
          <w:sz w:val="20"/>
          <w:u w:val="single"/>
        </w:rPr>
        <w:t>Notice to Allow Exercise by Holder</w:t>
      </w:r>
      <w:r>
        <w:rPr>
          <w:rFonts w:ascii="Times New Roman;Times;Serif" w:hAnsi="Times New Roman;Times;Serif"/>
          <w:b w:val="false"/>
          <w:i w:val="false"/>
          <w:caps w:val="false"/>
          <w:smallCaps w:val="false"/>
          <w:sz w:val="20"/>
        </w:rPr>
        <w:t>. If (A) the Company shall declare a dividend (or any other distribution in whatever form) on the Common Stock, (B) the Company shall declare a special nonrecurring cash dividend on or a redemption of the Common Stock, (C) the Company shall authorize the granting to all holders of the Common Stock rights or warrants to subscribe for or purchase any shares of capital stock of any class or of any rights, (D) the approval of any stockholders of the Company shall be required in connection with any reclassification of the Common Stock, any Fundamental Transaction, or (E) the Company shall authorize the voluntary or involuntary dissolution, liquidation or winding up of the affairs of the Company, then, in each case, the Company shall cause to be delivered by email to the Holder at its last email address as it shall appear upon the Warrant Register of the Company, at least fifteen (15) Business Days prior to the applicable record or effective date hereinafter specified, a notice stating (x) the date on which a record is to be taken for the purpose of such dividend, distribution, redemption, rights or warrants, or if a record is not to be taken, the date as of which the holders of the Common Stock of record to be entitled to such dividend, distributions, redemption, rights or warrants are to be determined or (y) the date on which such Fundamental Transaction is expected to become effective or close, and the date as of which it is expected that holders of the Common Stock of record shall be entitled to exchange their shares of Common Stock for securities, cash or other property deliverable upon such reclassification, consolidation, merger, sale, transfer or share exchange; provided that the failure to deliver such notice or any defect therein or in the delivery thereof shall not affect the validity of the corporate action required to be specified in such notice. To the extent that any notice provided in this Warrant constitutes, or contains, material, non-public information regarding the Company or any of the Subsidiaries, the Company shall simultaneously file such notice with the Commission pursuant to a Current Report on Form 8-K. The Holder shall remain entitled to exercise this Warrant during the period commencing on the date of such notice to the effective date of the event triggering such notice except as may otherwise be expressly set forth herein.</w:t>
      </w:r>
    </w:p>
    <w:p>
      <w:pPr>
        <w:pStyle w:val="TextBody"/>
        <w:bidi w:val="0"/>
        <w:spacing w:before="0" w:after="0"/>
        <w:ind w:left="0" w:right="0" w:hanging="0"/>
        <w:jc w:val="both"/>
        <w:rPr>
          <w:caps w:val="false"/>
          <w:smallCaps w:val="false"/>
        </w:rPr>
      </w:pPr>
      <w:r>
        <w:rPr>
          <w:caps w:val="false"/>
          <w:smallCaps w:val="false"/>
        </w:rPr>
        <w:t> </w:t>
      </w:r>
    </w:p>
    <w:tbl>
      <w:tblPr>
        <w:tblW w:w="2020" w:type="dxa"/>
        <w:jc w:val="left"/>
        <w:tblInd w:w="0" w:type="dxa"/>
        <w:tblLayout w:type="fixed"/>
        <w:tblCellMar>
          <w:top w:w="0" w:type="dxa"/>
          <w:left w:w="0" w:type="dxa"/>
          <w:bottom w:w="0" w:type="dxa"/>
          <w:right w:w="0" w:type="dxa"/>
        </w:tblCellMar>
      </w:tblPr>
      <w:tblGrid>
        <w:gridCol w:w="185"/>
        <w:gridCol w:w="1835"/>
      </w:tblGrid>
      <w:tr>
        <w:trPr/>
        <w:tc>
          <w:tcPr>
            <w:tcW w:w="1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18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u w:val="single"/>
              </w:rPr>
              <w:t>Transfer of Warrant</w:t>
            </w:r>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4.1. </w:t>
      </w:r>
      <w:r>
        <w:rPr>
          <w:rFonts w:ascii="Times New Roman;Times;Serif" w:hAnsi="Times New Roman;Times;Serif"/>
          <w:b/>
          <w:i w:val="false"/>
          <w:caps w:val="false"/>
          <w:smallCaps w:val="false"/>
          <w:sz w:val="20"/>
          <w:u w:val="single"/>
        </w:rPr>
        <w:t>Transferability</w:t>
      </w:r>
      <w:r>
        <w:rPr>
          <w:rFonts w:ascii="Times New Roman;Times;Serif" w:hAnsi="Times New Roman;Times;Serif"/>
          <w:b w:val="false"/>
          <w:i w:val="false"/>
          <w:caps w:val="false"/>
          <w:smallCaps w:val="false"/>
          <w:sz w:val="20"/>
        </w:rPr>
        <w:t xml:space="preserve">. Subject to compliance with any applicable securities laws and the conditions set forth in Section 4.4 hereof, this Warrant and all rights hereunder (including, without limitation, any registration rights under the Transaction Documents) are transferable, in whole or in part, upon surrender of this Warrant at the principal office of the Company or its designated agent, together with a written assignment of this Warrant substantially in the form attached hereto as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 xml:space="preserve"> duly executed by the Holder or its agent or attorney and funds sufficient to pay any transfer taxes payable upon the making of such transfer. Upon such surrender and, if required, such payment, the Company shall execute and deliver a new Warrant or Warrants in the name of the assignee or assignees, as applicable, and in the denomination or denominations specified in such instrument of assignment, and shall issue to the assignor a new Warrant evidencing the portion of this Warrant not so assigned, and this Warrant shall promptly be cancelled. Notwithstanding anything herein to the contrary, the Holder shall not be required to physically surrender this Warrant to the Company unless the Holder has assigned this Warrant in full, in which case, the Holder shall surrender this Warrant to the Company within three (3) Trading Days after the date on which the Holder delivers an assignment form to the Company assigning this Warrant in full. The Warrant, if properly assigned in accordance herewith, may be exercised by a new holder for the purchase of Warrant Shares without having a new Warrant issued.</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11</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4.2. </w:t>
      </w:r>
      <w:r>
        <w:rPr>
          <w:rFonts w:ascii="Times New Roman;Times;Serif" w:hAnsi="Times New Roman;Times;Serif"/>
          <w:b/>
          <w:i w:val="false"/>
          <w:caps w:val="false"/>
          <w:smallCaps w:val="false"/>
          <w:sz w:val="20"/>
          <w:u w:val="single"/>
        </w:rPr>
        <w:t>New Warrants</w:t>
      </w:r>
      <w:r>
        <w:rPr>
          <w:rFonts w:ascii="Times New Roman;Times;Serif" w:hAnsi="Times New Roman;Times;Serif"/>
          <w:b w:val="false"/>
          <w:i w:val="false"/>
          <w:caps w:val="false"/>
          <w:smallCaps w:val="false"/>
          <w:sz w:val="20"/>
        </w:rPr>
        <w:t>. This Warrant may be divided or combined with other Warrants upon presentation hereof at the aforesaid office of the Company, together with a written notice specifying the names and denominations in which new Warrants are to be issued, signed by the Holder or its agent or attorney. Subject to compliance with Section 4.1, as to any transfer which may be involved in such division or combination, the Company shall execute and deliver a new Warrant or Warrants in exchange for the Warrant or Warrants to be divided or combined in accordance with such notice. All Warrants issued on transfers or exchanges shall be dated the initial Issuance Date of this Warrant and shall be identical with this Warrant except as to the number of Warrant Shares issuable pursuant thereto.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4.3. </w:t>
      </w:r>
      <w:r>
        <w:rPr>
          <w:rFonts w:ascii="Times New Roman;Times;Serif" w:hAnsi="Times New Roman;Times;Serif"/>
          <w:b/>
          <w:i w:val="false"/>
          <w:caps w:val="false"/>
          <w:smallCaps w:val="false"/>
          <w:sz w:val="20"/>
          <w:u w:val="single"/>
        </w:rPr>
        <w:t>Warrant Register</w:t>
      </w:r>
      <w:r>
        <w:rPr>
          <w:rFonts w:ascii="Times New Roman;Times;Serif" w:hAnsi="Times New Roman;Times;Serif"/>
          <w:b w:val="false"/>
          <w:i w:val="false"/>
          <w:caps w:val="false"/>
          <w:smallCaps w:val="false"/>
          <w:sz w:val="20"/>
        </w:rPr>
        <w:t>. The Company shall register this Warrant, upon records to be maintained by or on behalf of the Company for that purpose (the “</w:t>
      </w:r>
      <w:r>
        <w:rPr>
          <w:rFonts w:ascii="Times New Roman;Times;Serif" w:hAnsi="Times New Roman;Times;Serif"/>
          <w:b/>
          <w:i w:val="false"/>
          <w:caps w:val="false"/>
          <w:smallCaps w:val="false"/>
          <w:sz w:val="20"/>
          <w:u w:val="single"/>
        </w:rPr>
        <w:t>Warrant Register</w:t>
      </w:r>
      <w:r>
        <w:rPr>
          <w:rFonts w:ascii="Times New Roman;Times;Serif" w:hAnsi="Times New Roman;Times;Serif"/>
          <w:b w:val="false"/>
          <w:i w:val="false"/>
          <w:caps w:val="false"/>
          <w:smallCaps w:val="false"/>
          <w:sz w:val="20"/>
        </w:rPr>
        <w:t>”), in the name of the record Holder hereof from time to time. The Company may deem and treat the registered Holder of this Warrant as the absolute owner hereof for the purpose of any exercise hereof or any distribution to the Holder, and for all other purposes, absent actual notice to the contrary.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4.4. </w:t>
      </w:r>
      <w:r>
        <w:rPr>
          <w:rFonts w:ascii="Times New Roman;Times;Serif" w:hAnsi="Times New Roman;Times;Serif"/>
          <w:b/>
          <w:i w:val="false"/>
          <w:caps w:val="false"/>
          <w:smallCaps w:val="false"/>
          <w:sz w:val="20"/>
          <w:u w:val="single"/>
        </w:rPr>
        <w:t>Transfer Restrictions</w:t>
      </w:r>
      <w:r>
        <w:rPr>
          <w:rFonts w:ascii="Times New Roman;Times;Serif" w:hAnsi="Times New Roman;Times;Serif"/>
          <w:b w:val="false"/>
          <w:i w:val="false"/>
          <w:caps w:val="false"/>
          <w:smallCaps w:val="false"/>
          <w:sz w:val="20"/>
        </w:rPr>
        <w:t>. Without limiting the provisions in the Share Sale Agreement with respect to registration rights relating to the Warrant Shares, the Holder acknowledges and understands that (i) no registration statement relating to the Warrants has been or is to be filed with the Commission under the Securities Act or under any applicable state securities or blue sky laws; (ii) the Warrants cannot be sold or transferred without compliance with the registration provisions of the Securities Act or compliance with exemptions, if any, available thereunder and without the delivery to the Company by reputable counsel of such counsel’s opinion, in form and substance reasonably satisfactory to the Company, to the effect that such sale or transfer is exempt from such registration provisions; (iii) the Company has no obligation or intention to register the Warrants under any federal or state securities act or law; and (iv) the Company may require, as a condition of allowing such transfer, that (x) the transferor (other than in connection with a transfer to an Affiliate of the transferor) provide to the Company an opinion of counsel to the effect that such transfer does not require registration of such transferred Warrant under the Securities Act, and (y) the transferee agree in writing to be bound by the terms of the Transaction Documents, with all the rights and obligations of a Seller under such agreements and (z) the transferor and transferee, as the case may be, comply with the provisions of Section 4.5.</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4.5. </w:t>
      </w:r>
      <w:r>
        <w:rPr>
          <w:rFonts w:ascii="Times New Roman;Times;Serif" w:hAnsi="Times New Roman;Times;Serif"/>
          <w:b/>
          <w:i w:val="false"/>
          <w:caps w:val="false"/>
          <w:smallCaps w:val="false"/>
          <w:sz w:val="20"/>
          <w:u w:val="single"/>
        </w:rPr>
        <w:t>Removal of Legends</w:t>
      </w:r>
      <w:r>
        <w:rPr>
          <w:rFonts w:ascii="Times New Roman;Times;Serif" w:hAnsi="Times New Roman;Times;Serif"/>
          <w:b w:val="false"/>
          <w:i w:val="false"/>
          <w:caps w:val="false"/>
          <w:smallCaps w:val="false"/>
          <w:sz w:val="20"/>
        </w:rPr>
        <w:t>. In connection with any sale, assignment, transfer or other disposition of the Warrant Shares or the Warrants by the Holder pursuant to Rule 144 or pursuant to any other exemption under the Securities Act, in each case where the purchaser will acquire freely tradable shares and upon compliance by the Holder with the requirements of this Warrant (including due exercise thereof), if requested by the Holder by written notice to the Company, the Company shall request the Transfer Agent to remove any restrictive legends related to the book entry account holding such Warrant Shares or Warrants, including the Warrant Register, and make a new, unlegended entry for such book entry Warrant Shares or Warrants sold or disposed of without restrictive legends as soon as reasonably practicable following any such request therefor from such Holder, provided that the Company has timely received from the Holder customary representations and other documentation reasonably acceptable to the Company in connection therewith (including, as to a transfer of the Warrants, consistent with Rule 144 or any other any other exemption under the Securities Act on which the Holder is relying). The Company shall be responsible for the fees of its Transfer Agent and its legal counsel associated with such legend removal.</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12</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1465" w:type="dxa"/>
        <w:jc w:val="left"/>
        <w:tblInd w:w="0" w:type="dxa"/>
        <w:tblLayout w:type="fixed"/>
        <w:tblCellMar>
          <w:top w:w="0" w:type="dxa"/>
          <w:left w:w="0" w:type="dxa"/>
          <w:bottom w:w="0" w:type="dxa"/>
          <w:right w:w="0" w:type="dxa"/>
        </w:tblCellMar>
      </w:tblPr>
      <w:tblGrid>
        <w:gridCol w:w="185"/>
        <w:gridCol w:w="1280"/>
      </w:tblGrid>
      <w:tr>
        <w:trPr/>
        <w:tc>
          <w:tcPr>
            <w:tcW w:w="1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12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u w:val="single"/>
              </w:rPr>
              <w:t>Miscellaneous</w:t>
            </w:r>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5.1. </w:t>
      </w:r>
      <w:r>
        <w:rPr>
          <w:rFonts w:ascii="Times New Roman;Times;Serif" w:hAnsi="Times New Roman;Times;Serif"/>
          <w:b/>
          <w:i w:val="false"/>
          <w:caps w:val="false"/>
          <w:smallCaps w:val="false"/>
          <w:sz w:val="20"/>
          <w:u w:val="single"/>
        </w:rPr>
        <w:t>No Rights as Stockholder until Exercise; No Settlement in Cash</w:t>
      </w:r>
      <w:r>
        <w:rPr>
          <w:rFonts w:ascii="Times New Roman;Times;Serif" w:hAnsi="Times New Roman;Times;Serif"/>
          <w:b w:val="false"/>
          <w:i w:val="false"/>
          <w:caps w:val="false"/>
          <w:smallCaps w:val="false"/>
          <w:sz w:val="20"/>
        </w:rPr>
        <w:t>. This Warrant does not entitle the Holder to any voting rights, dividends or other rights as a stockholder of the Company prior to the exercise hereof as set forth in Section 2.5.1, except as expressly set forth in Section 3. Without limiting any rights of a Holder to receive Warrant Shares on a “cashless exercise” pursuant to Section 2.3 or to receive cash payments pursuant to Section 2.5.1 herein, in no event shall the Company be required to net cash settle an exercise of this Warrant.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5.2. </w:t>
      </w:r>
      <w:r>
        <w:rPr>
          <w:rFonts w:ascii="Times New Roman;Times;Serif" w:hAnsi="Times New Roman;Times;Serif"/>
          <w:b/>
          <w:i w:val="false"/>
          <w:caps w:val="false"/>
          <w:smallCaps w:val="false"/>
          <w:sz w:val="20"/>
          <w:u w:val="single"/>
        </w:rPr>
        <w:t>Loss, Theft, Destruction or Mutilation of Warrant</w:t>
      </w:r>
      <w:r>
        <w:rPr>
          <w:rFonts w:ascii="Times New Roman;Times;Serif" w:hAnsi="Times New Roman;Times;Serif"/>
          <w:b w:val="false"/>
          <w:i w:val="false"/>
          <w:caps w:val="false"/>
          <w:smallCaps w:val="false"/>
          <w:sz w:val="20"/>
        </w:rPr>
        <w:t>. The Company covenants that upon receipt by the Company of evidence reasonably satisfactory to it of the loss, theft, destruction or mutilation of this Warrant or any stock certificate relating to the Warrant Shares, and in case of loss, theft or destruction, of indemnity or security reasonably satisfactory to it (which, in the case of the Warrant, shall not include the posting of any bond), and upon surrender and cancellation of such Warrant or stock certificate, if mutilated, the Company will make and deliver a new Warrant or stock certificate of like tenor and dated as of such cancellation, in lieu of such Warrant or stock certificate.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5.3. </w:t>
      </w:r>
      <w:r>
        <w:rPr>
          <w:rFonts w:ascii="Times New Roman;Times;Serif" w:hAnsi="Times New Roman;Times;Serif"/>
          <w:b/>
          <w:i w:val="false"/>
          <w:caps w:val="false"/>
          <w:smallCaps w:val="false"/>
          <w:sz w:val="20"/>
          <w:u w:val="single"/>
        </w:rPr>
        <w:t>Saturdays, Sundays, Holidays, etc</w:t>
      </w:r>
      <w:r>
        <w:rPr>
          <w:rFonts w:ascii="Times New Roman;Times;Serif" w:hAnsi="Times New Roman;Times;Serif"/>
          <w:b w:val="false"/>
          <w:i w:val="false"/>
          <w:caps w:val="false"/>
          <w:smallCaps w:val="false"/>
          <w:sz w:val="20"/>
        </w:rPr>
        <w:t>. If the last or appointed day for the taking of any action or the expiration of any right required or granted herein shall not be a Trading Day, then such action may be taken, or such right may be exercised, on the next succeeding Trading Day.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5.4. </w:t>
      </w:r>
      <w:r>
        <w:rPr>
          <w:rFonts w:ascii="Times New Roman;Times;Serif" w:hAnsi="Times New Roman;Times;Serif"/>
          <w:b/>
          <w:i w:val="false"/>
          <w:caps w:val="false"/>
          <w:smallCaps w:val="false"/>
          <w:sz w:val="20"/>
          <w:u w:val="single"/>
        </w:rPr>
        <w:t>Authorized Shares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5.4.1. </w:t>
      </w:r>
      <w:r>
        <w:rPr>
          <w:rFonts w:ascii="Times New Roman;Times;Serif" w:hAnsi="Times New Roman;Times;Serif"/>
          <w:b/>
          <w:i w:val="false"/>
          <w:caps w:val="false"/>
          <w:smallCaps w:val="false"/>
          <w:sz w:val="20"/>
          <w:u w:val="single"/>
        </w:rPr>
        <w:t>Reservation of Authorized and Unissued Shares</w:t>
      </w:r>
      <w:r>
        <w:rPr>
          <w:rFonts w:ascii="Times New Roman;Times;Serif" w:hAnsi="Times New Roman;Times;Serif"/>
          <w:b w:val="false"/>
          <w:i w:val="false"/>
          <w:caps w:val="false"/>
          <w:smallCaps w:val="false"/>
          <w:sz w:val="20"/>
        </w:rPr>
        <w:t>. The Company covenants that while the Warrant is outstanding, it will reserve from its authorized and unissued Common Stock a sufficient number of shares of Common Stock to provide for the issuance of the Warrant Shares upon the exercise of any purchase rights under this Warrant, free from preemptive rights or any other contingent purchase rights of persons other than the Holder (taking into account the adjustments and restrictions of Section 3). The Company further covenants that its issuance of this Warrant shall constitute full authority to its officers who are charged with the duty of issuing the necessary Warrant Shares upon the exercise of the purchase rights under this Warrant. The Company will take all such reasonable action as may be necessary to assure that such Warrant Shares may be issued as provided herein without violation of any applicable law or regulation, or of any requirements of the Trading Market upon which the Common Stock may be listed. The Company covenants that all Warrant Shares which may be issued upon the exercise of the purchase rights represented by this Warrant will, upon exercise of the purchase rights represented by this Warrant and payment for such Warrant Shares in accordance herewith, be duly authorized, validly issued, fully paid and nonassessable (which means that no further sums are required to be paid by the holders thereof in connection with the issue thereof) and free from all taxes, liens and charges created by the Company in respect of the issue thereof (other than taxes in respect of any transfer occurring contemporaneously with such issue). If the Company does not have a sufficient number of authorized and unissued shares of Common Stock available to honor the exercise of Warrants, the Company shall allocate the available number of Warrant Shares on a pro rata basis among all Holders exercising Warrants, until such time as the Company has a sufficient number of authorized Common Stock to issue all Warrant Shares in full. The Company further covenants that it will not, without the prior written consent of the Holder, take any actions to increase the par value of the Common Stock at any time while this Warrant is outstanding.</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13</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5.4.2. </w:t>
      </w:r>
      <w:r>
        <w:rPr>
          <w:rFonts w:ascii="Times New Roman;Times;Serif" w:hAnsi="Times New Roman;Times;Serif"/>
          <w:b/>
          <w:i w:val="false"/>
          <w:caps w:val="false"/>
          <w:smallCaps w:val="false"/>
          <w:sz w:val="20"/>
          <w:u w:val="single"/>
        </w:rPr>
        <w:t>Noncircumvention</w:t>
      </w:r>
      <w:r>
        <w:rPr>
          <w:rFonts w:ascii="Times New Roman;Times;Serif" w:hAnsi="Times New Roman;Times;Serif"/>
          <w:b w:val="false"/>
          <w:i w:val="false"/>
          <w:caps w:val="false"/>
          <w:smallCaps w:val="false"/>
          <w:sz w:val="20"/>
        </w:rPr>
        <w:t>. Except and to the extent as waived or consented to by the Holder, the Company shall not by any action, including, without limitation, amending its certificate of incorporation or through any reorganization, transfer of assets, consolidation, merger, dissolution, issue or sale of securities or any other voluntary action, avoid or seek to avoid the observance or performance of any of the terms of this Warrant, but will at all times in good faith assist in the carrying out of all such terms and in the taking of all such actions as may be necessary or appropriate to protect the rights of Holder as set forth in this Warrant against impairment. Without limiting the generality of the foregoing, the Company will (i) not increase the par value of any Warrant Shares above the amount payable therefor upon such exercise immediately prior to such increase in par value, (ii) take all such action as may be necessary or appropriate in order that the Company may validly and legally issue fully paid and nonassessable Warrant Shares upon the exercise of this Warrant and (iii) use commercially reasonable efforts to obtain all such authorizations, exemptions or consents from any public regulatory body having jurisdiction thereof, as may be, necessary to enable the Company to perform its obligations under this Warrant.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5.4.3. </w:t>
      </w:r>
      <w:r>
        <w:rPr>
          <w:rFonts w:ascii="Times New Roman;Times;Serif" w:hAnsi="Times New Roman;Times;Serif"/>
          <w:b/>
          <w:i w:val="false"/>
          <w:caps w:val="false"/>
          <w:smallCaps w:val="false"/>
          <w:sz w:val="20"/>
          <w:u w:val="single"/>
        </w:rPr>
        <w:t>Authorizations, Exemptions and Consents</w:t>
      </w:r>
      <w:r>
        <w:rPr>
          <w:rFonts w:ascii="Times New Roman;Times;Serif" w:hAnsi="Times New Roman;Times;Serif"/>
          <w:b w:val="false"/>
          <w:i w:val="false"/>
          <w:caps w:val="false"/>
          <w:smallCaps w:val="false"/>
          <w:sz w:val="20"/>
        </w:rPr>
        <w:t>. Before taking any action that would result in an adjustment in the number of Warrant Shares for which this Warrant is exercisable or in the Exercise Price, the Company shall obtain all such authorizations or exemptions thereof, or consents thereto, as may be necessary from any public regulatory body or bodies having jurisdiction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5.5. </w:t>
      </w:r>
      <w:r>
        <w:rPr>
          <w:rFonts w:ascii="Times New Roman;Times;Serif" w:hAnsi="Times New Roman;Times;Serif"/>
          <w:b/>
          <w:i w:val="false"/>
          <w:caps w:val="false"/>
          <w:smallCaps w:val="false"/>
          <w:sz w:val="20"/>
          <w:u w:val="single"/>
        </w:rPr>
        <w:t>Governing Law</w:t>
      </w:r>
      <w:r>
        <w:rPr>
          <w:rFonts w:ascii="Times New Roman;Times;Serif" w:hAnsi="Times New Roman;Times;Serif"/>
          <w:b w:val="false"/>
          <w:i w:val="false"/>
          <w:caps w:val="false"/>
          <w:smallCaps w:val="false"/>
          <w:sz w:val="20"/>
        </w:rPr>
        <w:t>. All questions concerning the construction, validity, enforcement and interpretation of this Warrant shall be governed by and construed and enforced in accordance with the internal laws of the State of Delaware, without regard to the principles of conflicts of law thereof. Each party hereto agrees that all legal proceedings concerning the interpretations, enforcement and defense of the transactions contemplated by this Warrant (whether brought against a party hereto or their respective affiliates, directors, officers, stockholders, partners, members, employees or agents) shall be brought or otherwise commenced in the Court of Chancery of the State of Delaware; provided, that if jurisdiction is not then available in the Court of Chancery of the State of Delaware, then any such legal action or proceeding may be brought in any federal court located in the State of Delaware or any other Delaware state court. Each party hereto: (i) expressly and irrevocably consents and submits to the exclusive jurisdiction of the aforesaid courts in connection with any such proceeding; (ii) agrees that each state and federal court located in the State of Delaware will be deemed to be a convenient forum; and (iii) agrees not to assert (by way of motion, as a defense or otherwise), in any such proceeding commenced in any state or federal court located in the State of Delaware, any claim that such Party is not subject personally to the jurisdiction of such court, that such proceeding has been brought in an inconvenient forum, that the venue of such proceeding is improper or that this Warrant or the subject matter of this Warrant may not be enforced in or by such court.</w:t>
      </w:r>
    </w:p>
    <w:p>
      <w:pPr>
        <w:pStyle w:val="TextBody"/>
        <w:bidi w:val="0"/>
        <w:spacing w:before="0" w:after="0"/>
        <w:ind w:left="72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14</w:t>
            </w:r>
          </w:p>
        </w:tc>
      </w:tr>
    </w:tbl>
    <w:p>
      <w:pPr>
        <w:pStyle w:val="TextBody"/>
        <w:bidi w:val="0"/>
        <w:spacing w:before="0" w:after="0"/>
        <w:ind w:left="0" w:right="0" w:hanging="0"/>
        <w:jc w:val="left"/>
        <w:rPr/>
      </w:pPr>
      <w:r>
        <w:rPr/>
        <w:t>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party hereto hereby irrevocably waives personal service of process and consents to process being served in any such suit, action or proceeding by mailing a copy thereof via registered or certified mail or overnight delivery (with evidence of delivery) to such party at the address in effect for notices to it under this Warrant and agrees that such service shall constitute good and sufficient service of process and notice thereof. Nothing contained herein shall be deemed to limit in any way any right to serve process in any other manner permitted by law. If either party hereto shall commence an action, suit or proceeding to enforce any provisions of this Warrant, the prevailing party in such action, suit or proceeding shall be reimbursed by the other party for their reasonable attorneys’ fees and other costs and expenses incurred with the investigation, preparation and prosecution of such action or proceeding. TO THE FULLEST EXTENT PERMITTED BY APPLICABLE LAW, EACH PARTY HERETO HEREBY IRREVOCABLY AND UNCONDITIONALLY WAIVES ANY RIGHT SUCH PARTY MAY HAVE TO A TRIAL BY JURY IN RESPECT OF ANY LITIGATION DIRECTLY OR INDIRECTLY ARISING OUT OF OR RELATING TO THIS WARRANT OR THE TRANSACTIONS CONTEMPLATED BY THIS WARRANT. EACH PARTY HERETO CERTIFIES AND ACKNOWLEDGES THAT (A) NO REPRESENTATIVE, AGENT OR ATTORNEY OF ANY OTHER PARTY HAS REPRESENTED, EXPRESSLY OR OTHERWISE, THAT SUCH OTHER PARTY WOULD NOT, IN THE EVENT OF LITIGATION, SEEK TO ENFORCE THE FOREGOING WAIVER, (B) EACH SUCH PARTY UNDERSTANDS AND HAS CONSIDERED THE IMPLICATIONS OF THIS WAIVER, (C) EACH SUCH PARTY MAKES THIS WAIVER VOLUNTARILY AND (D) EACH SUCH PARTY HAS BEEN INDUCED TO ENTER INTO THIS AGREEMENT BY, AMONG OTHER THINGS, THE MUTUAL WAIVERS AND CERTIFICATIONS IN THIS SECTION 5.5.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5.6. </w:t>
      </w:r>
      <w:r>
        <w:rPr>
          <w:rFonts w:ascii="Times New Roman;Times;Serif" w:hAnsi="Times New Roman;Times;Serif"/>
          <w:b/>
          <w:i w:val="false"/>
          <w:caps w:val="false"/>
          <w:smallCaps w:val="false"/>
          <w:sz w:val="20"/>
          <w:u w:val="single"/>
        </w:rPr>
        <w:t>Restrictions</w:t>
      </w:r>
      <w:r>
        <w:rPr>
          <w:rFonts w:ascii="Times New Roman;Times;Serif" w:hAnsi="Times New Roman;Times;Serif"/>
          <w:b w:val="false"/>
          <w:i w:val="false"/>
          <w:caps w:val="false"/>
          <w:smallCaps w:val="false"/>
          <w:sz w:val="20"/>
        </w:rPr>
        <w:t>. The Holder acknowledges that the Warrant Shares acquired upon the exercise of this Warrant, if not registered, and the Holder does not utilize cashless exercise, will have restrictions upon resale imposed by state and federal securities 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5.7. </w:t>
      </w:r>
      <w:r>
        <w:rPr>
          <w:rFonts w:ascii="Times New Roman;Times;Serif" w:hAnsi="Times New Roman;Times;Serif"/>
          <w:b/>
          <w:i w:val="false"/>
          <w:caps w:val="false"/>
          <w:smallCaps w:val="false"/>
          <w:sz w:val="20"/>
          <w:u w:val="single"/>
        </w:rPr>
        <w:t>Notices</w:t>
      </w:r>
      <w:r>
        <w:rPr>
          <w:rFonts w:ascii="Times New Roman;Times;Serif" w:hAnsi="Times New Roman;Times;Serif"/>
          <w:b w:val="false"/>
          <w:i w:val="false"/>
          <w:caps w:val="false"/>
          <w:smallCaps w:val="false"/>
          <w:sz w:val="20"/>
        </w:rPr>
        <w:t>. Any and all notices or other communications or deliveries to be provided by the Holders hereunder including, without limitation, any Notice of Exercise, shall be in writing and delivered personally, by e-mail or sent by an internationally recognized overnight courier service, such as Federal Express, addressed to the Company, at 710 N. Tucker Blvd. Suite 110, St. Louis, MO 63101, Attention: CEO, CFO, General Counsel (David.Fischel@stereotaxis.com; Kim.Peery@stereotaxis.com; Patti.Williams@stereotaxis.com), or such other email address or address as the Company may specify for such purposes by notice to the Holders, with a copy (which shall not constitute notice) to: Bryan Cave Leighton Paisner LLP - St. Louis, MO USA 211 N. Broadway #3600, St. Louis, MO 63102, Attn: Robert J. Endicott, (rob.endicott@bclplaw.com). Any and all notices or other communications or deliveries to be provided by the Company hereunder shall be in writing and delivered personally, by e-mail, or sent by a nationally recognized overnight courier service addressed to each Holder at the e-mail address or address of such Holder appearing on the books of the Company. Any notice or other communication or deliveries hereunder shall be deemed given and effective on the earliest of (i) the time of transmission, if such notice or communication is delivered via e-mail at the e-mail address set forth in this Section 5.7 prior to 5:30 p.m. (New York City time) on any date, (ii) the next Trading Day after the time of transmission, if such notice or communication is delivered via e-mail at the e-mail address set forth in this Section 5.7 on a Calendar Day that is not a Trading Day or later than 5:30 p.m. (New York City time) on any Trading Day, (iii) the second Trading Day following the date of mailing, if sent by U.S. nationally recognized overnight courier service, or (iv) upon actual receipt by the party to whom such notice is required to be given. To the extent that any notice provided hereunder constitutes, or contains, material, non-public information regarding the Company or any Subsidiaries, the Company shall simultaneously file such notice with the Commission pursuant to a Current Report on Form 8-K.</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15</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5.8. </w:t>
      </w:r>
      <w:r>
        <w:rPr>
          <w:rFonts w:ascii="Times New Roman;Times;Serif" w:hAnsi="Times New Roman;Times;Serif"/>
          <w:b/>
          <w:i w:val="false"/>
          <w:caps w:val="false"/>
          <w:smallCaps w:val="false"/>
          <w:sz w:val="20"/>
          <w:u w:val="single"/>
        </w:rPr>
        <w:t>Limitation of Liability</w:t>
      </w:r>
      <w:r>
        <w:rPr>
          <w:rFonts w:ascii="Times New Roman;Times;Serif" w:hAnsi="Times New Roman;Times;Serif"/>
          <w:b w:val="false"/>
          <w:i w:val="false"/>
          <w:caps w:val="false"/>
          <w:smallCaps w:val="false"/>
          <w:sz w:val="20"/>
        </w:rPr>
        <w:t>. No provision hereof, in the absence of any affirmative action by the Holder to exercise this Warrant to purchase Warrant Shares, and no enumeration herein of the rights or privileges of the Holder, shall give rise to any liability of the Holder for the purchase price of any Common Stock or as a stockholder of the Company, whether such liability is asserted by the Company or by creditors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5.9. </w:t>
      </w:r>
      <w:r>
        <w:rPr>
          <w:rFonts w:ascii="Times New Roman;Times;Serif" w:hAnsi="Times New Roman;Times;Serif"/>
          <w:b/>
          <w:i w:val="false"/>
          <w:caps w:val="false"/>
          <w:smallCaps w:val="false"/>
          <w:sz w:val="20"/>
          <w:u w:val="single"/>
        </w:rPr>
        <w:t>Remedies</w:t>
      </w:r>
      <w:r>
        <w:rPr>
          <w:rFonts w:ascii="Times New Roman;Times;Serif" w:hAnsi="Times New Roman;Times;Serif"/>
          <w:b w:val="false"/>
          <w:i w:val="false"/>
          <w:caps w:val="false"/>
          <w:smallCaps w:val="false"/>
          <w:sz w:val="20"/>
        </w:rPr>
        <w:t>. The Holder, in addition to being entitled to exercise all rights granted by law, including recovery of damages, will be entitled to seek injunction, specific performance of its rights under this Warrant and other equitable remedies to prevent breaches or threatened breaches of this Warrant and to enforce specifically the terms and provisions hereof, in addition to any other remedy to which they are entitled in law or in equity. The Company agrees that monetary damages (even if available) would not be adequate compensation for any loss incurred by reason of a breach by it of the provisions of this Warrant and hereby agrees to waive and not to assert the defense in any action for specific performance and other equitable relief on the basis that a remedy at law would be adequate or that any award of specific performance is not an appropriate remedy for any reason at law or in equity. The Holder seeking an injunction or injunctions to prevent breaches of this Warrant and to enforce specifically the terms and provisions of this Warrant shall not be required to provide any bond or other security in connection with such order or injunction.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5.10. </w:t>
      </w:r>
      <w:r>
        <w:rPr>
          <w:rFonts w:ascii="Times New Roman;Times;Serif" w:hAnsi="Times New Roman;Times;Serif"/>
          <w:b/>
          <w:i w:val="false"/>
          <w:caps w:val="false"/>
          <w:smallCaps w:val="false"/>
          <w:sz w:val="20"/>
          <w:u w:val="single"/>
        </w:rPr>
        <w:t>Successors and Assigns</w:t>
      </w:r>
      <w:r>
        <w:rPr>
          <w:rFonts w:ascii="Times New Roman;Times;Serif" w:hAnsi="Times New Roman;Times;Serif"/>
          <w:b w:val="false"/>
          <w:i w:val="false"/>
          <w:caps w:val="false"/>
          <w:smallCaps w:val="false"/>
          <w:sz w:val="20"/>
        </w:rPr>
        <w:t>. Subject to applicable securities laws, this Warrant and the rights and obligations evidenced hereby shall inure to the benefit of and be binding upon the successors and permitted assigns of the Company and the successors and permitted assigns of Holder. The provisions of this Warrant are intended to be for the benefit of any Holder from time to time of this Warrant and shall be enforceable by the Holder or holder of Warrant Shares. This Warrant may not be assigned by the Company without the written consent of the Holder, except to a successor in the event of a Fundamental Transaction in which this Warrant is not automatically “cashless exercised”.</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16</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5.11. </w:t>
      </w:r>
      <w:r>
        <w:rPr>
          <w:rFonts w:ascii="Times New Roman;Times;Serif" w:hAnsi="Times New Roman;Times;Serif"/>
          <w:b/>
          <w:i w:val="false"/>
          <w:caps w:val="false"/>
          <w:smallCaps w:val="false"/>
          <w:sz w:val="20"/>
          <w:u w:val="single"/>
        </w:rPr>
        <w:t>Amendment</w:t>
      </w:r>
      <w:r>
        <w:rPr>
          <w:rFonts w:ascii="Times New Roman;Times;Serif" w:hAnsi="Times New Roman;Times;Serif"/>
          <w:b w:val="false"/>
          <w:i w:val="false"/>
          <w:caps w:val="false"/>
          <w:smallCaps w:val="false"/>
          <w:sz w:val="20"/>
        </w:rPr>
        <w:t>. This Warrant may be modified or amended or the provisions hereof waived with the written consent of the Company, on the one hand, and the Holder, or their successors and assigns, on the other hand. No modification or amendment of the provisions hereof may be waived in a manner that is more favorable to other holder(s) of Warrants, as applicable, or to treat any holder(s) of Warrants in a manner that is in any respect not equal to the treatment of all other holder(s) of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5.12. </w:t>
      </w:r>
      <w:r>
        <w:rPr>
          <w:rFonts w:ascii="Times New Roman;Times;Serif" w:hAnsi="Times New Roman;Times;Serif"/>
          <w:b/>
          <w:i w:val="false"/>
          <w:caps w:val="false"/>
          <w:smallCaps w:val="false"/>
          <w:sz w:val="20"/>
          <w:u w:val="single"/>
        </w:rPr>
        <w:t>Severability</w:t>
      </w:r>
      <w:r>
        <w:rPr>
          <w:rFonts w:ascii="Times New Roman;Times;Serif" w:hAnsi="Times New Roman;Times;Serif"/>
          <w:b w:val="false"/>
          <w:i w:val="false"/>
          <w:caps w:val="false"/>
          <w:smallCaps w:val="false"/>
          <w:sz w:val="20"/>
        </w:rPr>
        <w:t>. Wherever possible, each provision of this Warrant shall be interpreted in such manner as to be effective and valid under applicable law, but if any provision of this Warrant shall be prohibited by or invalid under applicable law, such provision shall be ineffective to the extent of such prohibition or invalidity, without invalidating the remainder of such provisions or the remaining provisions of this Warrant.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5.13. </w:t>
      </w:r>
      <w:r>
        <w:rPr>
          <w:rFonts w:ascii="Times New Roman;Times;Serif" w:hAnsi="Times New Roman;Times;Serif"/>
          <w:b/>
          <w:i w:val="false"/>
          <w:caps w:val="false"/>
          <w:smallCaps w:val="false"/>
          <w:sz w:val="20"/>
          <w:u w:val="single"/>
        </w:rPr>
        <w:t>Headings; Exhibits</w:t>
      </w:r>
      <w:r>
        <w:rPr>
          <w:rFonts w:ascii="Times New Roman;Times;Serif" w:hAnsi="Times New Roman;Times;Serif"/>
          <w:b w:val="false"/>
          <w:i w:val="false"/>
          <w:caps w:val="false"/>
          <w:smallCaps w:val="false"/>
          <w:sz w:val="20"/>
        </w:rPr>
        <w:t>. The headings used in this Warrant are for the convenience of reference only and shall not, for any purpose, be deemed a part of this Warrant. The exhibits form part of this Warrant and a reference to “this Warrant” includes its exhibits.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5.14 </w:t>
      </w:r>
      <w:r>
        <w:rPr>
          <w:rFonts w:ascii="Times New Roman;Times;Serif" w:hAnsi="Times New Roman;Times;Serif"/>
          <w:b/>
          <w:i w:val="false"/>
          <w:caps w:val="false"/>
          <w:smallCaps w:val="false"/>
          <w:sz w:val="20"/>
          <w:u w:val="single"/>
        </w:rPr>
        <w:t>Counterparts</w:t>
      </w:r>
      <w:r>
        <w:rPr>
          <w:rFonts w:ascii="Times New Roman;Times;Serif" w:hAnsi="Times New Roman;Times;Serif"/>
          <w:b w:val="false"/>
          <w:i w:val="false"/>
          <w:caps w:val="false"/>
          <w:smallCaps w:val="false"/>
          <w:sz w:val="20"/>
        </w:rPr>
        <w:t>. This Agreement may be executed in several counterparts (including by electronic transmission), each of which shall be deemed an original and all of which shall together constitute one and the same instrument.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5.15 </w:t>
      </w:r>
      <w:r>
        <w:rPr>
          <w:rFonts w:ascii="Times New Roman;Times;Serif" w:hAnsi="Times New Roman;Times;Serif"/>
          <w:b/>
          <w:i w:val="false"/>
          <w:caps w:val="false"/>
          <w:smallCaps w:val="false"/>
          <w:sz w:val="20"/>
          <w:u w:val="single"/>
        </w:rPr>
        <w:t>Interpretation</w:t>
      </w:r>
      <w:r>
        <w:rPr>
          <w:rFonts w:ascii="Times New Roman;Times;Serif" w:hAnsi="Times New Roman;Times;Serif"/>
          <w:b w:val="false"/>
          <w:i w:val="false"/>
          <w:caps w:val="false"/>
          <w:smallCaps w:val="false"/>
          <w:sz w:val="20"/>
        </w:rPr>
        <w:t>. Unless a contrary indication appears, a reference in this Warrant:</w:t>
      </w:r>
    </w:p>
    <w:p>
      <w:pPr>
        <w:pStyle w:val="TextBody"/>
        <w:bidi w:val="0"/>
        <w:spacing w:before="0" w:after="0"/>
        <w:ind w:left="1080" w:right="0" w:firstLine="360"/>
        <w:jc w:val="both"/>
        <w:rPr>
          <w:caps w:val="false"/>
          <w:smallCaps w:val="false"/>
        </w:rPr>
      </w:pPr>
      <w:r>
        <w:rPr>
          <w:caps w:val="false"/>
          <w:smallCaps w:val="false"/>
        </w:rPr>
        <w:t> </w:t>
      </w:r>
    </w:p>
    <w:p>
      <w:pPr>
        <w:pStyle w:val="TextBody"/>
        <w:bidi w:val="0"/>
        <w:spacing w:before="0" w:after="0"/>
        <w:ind w:left="108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to this Warrant or any other agreement or instrument is a reference to this Warrant or other agreement or instrument as amended, novated, supplemented, extended or restated at any time;</w:t>
      </w:r>
    </w:p>
    <w:p>
      <w:pPr>
        <w:pStyle w:val="TextBody"/>
        <w:bidi w:val="0"/>
        <w:spacing w:before="0" w:after="0"/>
        <w:ind w:left="1080" w:right="0" w:firstLine="360"/>
        <w:jc w:val="both"/>
        <w:rPr>
          <w:caps w:val="false"/>
          <w:smallCaps w:val="false"/>
        </w:rPr>
      </w:pPr>
      <w:r>
        <w:rPr>
          <w:caps w:val="false"/>
          <w:smallCaps w:val="false"/>
        </w:rPr>
        <w:t> </w:t>
      </w:r>
    </w:p>
    <w:p>
      <w:pPr>
        <w:pStyle w:val="TextBody"/>
        <w:bidi w:val="0"/>
        <w:spacing w:before="0" w:after="0"/>
        <w:ind w:left="108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to Section, paragraph or schedule is, unless stated otherwise, a reference to a Section or paragraph of, or schedule to, this Warrant;</w:t>
      </w:r>
    </w:p>
    <w:p>
      <w:pPr>
        <w:pStyle w:val="TextBody"/>
        <w:bidi w:val="0"/>
        <w:spacing w:before="0" w:after="0"/>
        <w:ind w:left="1080" w:right="0" w:firstLine="360"/>
        <w:jc w:val="both"/>
        <w:rPr>
          <w:caps w:val="false"/>
          <w:smallCaps w:val="false"/>
        </w:rPr>
      </w:pPr>
      <w:r>
        <w:rPr>
          <w:caps w:val="false"/>
          <w:smallCaps w:val="false"/>
        </w:rPr>
        <w:t> </w:t>
      </w:r>
    </w:p>
    <w:p>
      <w:pPr>
        <w:pStyle w:val="TextBody"/>
        <w:bidi w:val="0"/>
        <w:spacing w:before="0" w:after="0"/>
        <w:ind w:left="108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in a Section or schedule to a paragraph is, unless otherwise stated, a reference to a paragraph in that Section or schedule, where that schedule is split into parts, a reference to a paragraph in that part of that schedule;</w:t>
      </w:r>
    </w:p>
    <w:p>
      <w:pPr>
        <w:pStyle w:val="TextBody"/>
        <w:bidi w:val="0"/>
        <w:spacing w:before="0" w:after="0"/>
        <w:ind w:left="1080" w:right="0" w:firstLine="360"/>
        <w:jc w:val="both"/>
        <w:rPr>
          <w:caps w:val="false"/>
          <w:smallCaps w:val="false"/>
        </w:rPr>
      </w:pPr>
      <w:r>
        <w:rPr>
          <w:caps w:val="false"/>
          <w:smallCaps w:val="false"/>
        </w:rPr>
        <w:t> </w:t>
      </w:r>
    </w:p>
    <w:p>
      <w:pPr>
        <w:pStyle w:val="TextBody"/>
        <w:bidi w:val="0"/>
        <w:spacing w:before="0" w:after="0"/>
        <w:ind w:left="108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to a statute or statutory provision includes a reference to any subordinate legislation and is a reference to: (a) that statute, statutory provision or subordinate legislation as modified, consolidated, superseded, re-enacted, re-numbered, or replaced (whether with or without modification) from time to time after the date of this Warrant; and (b) any statute, statutory provision or subordinate legislation which it consolidates, supersedes, re-enacts or replaces (whether with or without modification);</w:t>
      </w:r>
    </w:p>
    <w:p>
      <w:pPr>
        <w:pStyle w:val="TextBody"/>
        <w:bidi w:val="0"/>
        <w:spacing w:before="0" w:after="0"/>
        <w:ind w:left="108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17</w:t>
            </w:r>
          </w:p>
        </w:tc>
      </w:tr>
    </w:tbl>
    <w:p>
      <w:pPr>
        <w:pStyle w:val="TextBody"/>
        <w:bidi w:val="0"/>
        <w:spacing w:before="0" w:after="0"/>
        <w:ind w:left="0" w:right="0" w:hanging="0"/>
        <w:jc w:val="left"/>
        <w:rPr/>
      </w:pPr>
      <w:r>
        <w:rPr/>
        <w:t> </w:t>
      </w:r>
    </w:p>
    <w:p>
      <w:pPr>
        <w:pStyle w:val="TextBody"/>
        <w:bidi w:val="0"/>
        <w:spacing w:before="0" w:after="0"/>
        <w:ind w:left="1080" w:right="0" w:firstLine="360"/>
        <w:jc w:val="both"/>
        <w:rPr>
          <w:caps w:val="false"/>
          <w:smallCaps w:val="false"/>
        </w:rPr>
      </w:pPr>
      <w:r>
        <w:rPr>
          <w:caps w:val="false"/>
          <w:smallCaps w:val="false"/>
        </w:rPr>
        <w:t> </w:t>
      </w:r>
    </w:p>
    <w:p>
      <w:pPr>
        <w:pStyle w:val="TextBody"/>
        <w:bidi w:val="0"/>
        <w:spacing w:before="0" w:after="0"/>
        <w:ind w:left="108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to a party will be deemed to be a reference to any successor to such party or to any person or persons to whom that party assigns or otherwise transfers any or its rights or obligations under this Warrant in accordance with this Warrant;</w:t>
      </w:r>
    </w:p>
    <w:p>
      <w:pPr>
        <w:pStyle w:val="TextBody"/>
        <w:bidi w:val="0"/>
        <w:spacing w:before="0" w:after="0"/>
        <w:ind w:left="1080" w:right="0" w:firstLine="360"/>
        <w:jc w:val="both"/>
        <w:rPr>
          <w:caps w:val="false"/>
          <w:smallCaps w:val="false"/>
        </w:rPr>
      </w:pPr>
      <w:r>
        <w:rPr>
          <w:caps w:val="false"/>
          <w:smallCaps w:val="false"/>
        </w:rPr>
        <w:t> </w:t>
      </w:r>
    </w:p>
    <w:p>
      <w:pPr>
        <w:pStyle w:val="TextBody"/>
        <w:bidi w:val="0"/>
        <w:spacing w:before="0" w:after="0"/>
        <w:ind w:left="108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to the Holder in the context of any Warrant or related Warrant Share means the person or persons within the definition of “Holder” who at that time holds or hold that Warrant;</w:t>
      </w:r>
    </w:p>
    <w:p>
      <w:pPr>
        <w:pStyle w:val="TextBody"/>
        <w:bidi w:val="0"/>
        <w:spacing w:before="0" w:after="0"/>
        <w:ind w:left="1080" w:right="0" w:firstLine="360"/>
        <w:jc w:val="both"/>
        <w:rPr>
          <w:caps w:val="false"/>
          <w:smallCaps w:val="false"/>
        </w:rPr>
      </w:pPr>
      <w:r>
        <w:rPr>
          <w:caps w:val="false"/>
          <w:smallCaps w:val="false"/>
        </w:rPr>
        <w:t> </w:t>
      </w:r>
    </w:p>
    <w:p>
      <w:pPr>
        <w:pStyle w:val="TextBody"/>
        <w:bidi w:val="0"/>
        <w:spacing w:before="0" w:after="0"/>
        <w:ind w:left="108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to one gender is a reference to all or any genders, and references to the singular include the plural and vice versa;</w:t>
      </w:r>
    </w:p>
    <w:p>
      <w:pPr>
        <w:pStyle w:val="TextBody"/>
        <w:bidi w:val="0"/>
        <w:spacing w:before="0" w:after="0"/>
        <w:ind w:left="1080" w:right="0" w:firstLine="360"/>
        <w:jc w:val="both"/>
        <w:rPr>
          <w:caps w:val="false"/>
          <w:smallCaps w:val="false"/>
        </w:rPr>
      </w:pPr>
      <w:r>
        <w:rPr>
          <w:caps w:val="false"/>
          <w:smallCaps w:val="false"/>
        </w:rPr>
        <w:t> </w:t>
      </w:r>
    </w:p>
    <w:p>
      <w:pPr>
        <w:pStyle w:val="TextBody"/>
        <w:bidi w:val="0"/>
        <w:spacing w:before="0" w:after="0"/>
        <w:ind w:left="108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to a legal term for a legal document, court, judicial process, action, remedy, legal status, official or any other legal concept or thing which is specific to a particular jurisdiction shall, in respect of any other jurisdiction, be deemed to be a reference to whatever most closely equates to that legal term in the relevant jurisdiction;</w:t>
      </w:r>
    </w:p>
    <w:p>
      <w:pPr>
        <w:pStyle w:val="TextBody"/>
        <w:bidi w:val="0"/>
        <w:spacing w:before="0" w:after="0"/>
        <w:ind w:left="1080" w:right="0" w:firstLine="360"/>
        <w:jc w:val="both"/>
        <w:rPr>
          <w:caps w:val="false"/>
          <w:smallCaps w:val="false"/>
        </w:rPr>
      </w:pPr>
      <w:r>
        <w:rPr>
          <w:caps w:val="false"/>
          <w:smallCaps w:val="false"/>
        </w:rPr>
        <w:t> </w:t>
      </w:r>
    </w:p>
    <w:p>
      <w:pPr>
        <w:pStyle w:val="TextBody"/>
        <w:bidi w:val="0"/>
        <w:spacing w:before="0" w:after="0"/>
        <w:ind w:left="108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(ix) “or” is not exclusive; and</w:t>
      </w:r>
    </w:p>
    <w:p>
      <w:pPr>
        <w:pStyle w:val="TextBody"/>
        <w:bidi w:val="0"/>
        <w:spacing w:before="0" w:after="0"/>
        <w:ind w:left="1080" w:right="0" w:firstLine="360"/>
        <w:jc w:val="both"/>
        <w:rPr>
          <w:caps w:val="false"/>
          <w:smallCaps w:val="false"/>
        </w:rPr>
      </w:pPr>
      <w:r>
        <w:rPr>
          <w:caps w:val="false"/>
          <w:smallCaps w:val="false"/>
        </w:rPr>
        <w:t> </w:t>
      </w:r>
    </w:p>
    <w:p>
      <w:pPr>
        <w:pStyle w:val="TextBody"/>
        <w:bidi w:val="0"/>
        <w:spacing w:before="0" w:after="0"/>
        <w:ind w:left="108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to “including” or “includes” does not limit the scope of the meaning of the words preceding it but shall be taken as meaning “including without limitation” or “includes without limitation.”</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5.16 </w:t>
      </w:r>
      <w:r>
        <w:rPr>
          <w:rFonts w:ascii="Times New Roman;Times;Serif" w:hAnsi="Times New Roman;Times;Serif"/>
          <w:b/>
          <w:i w:val="false"/>
          <w:caps w:val="false"/>
          <w:smallCaps w:val="false"/>
          <w:sz w:val="20"/>
          <w:u w:val="single"/>
        </w:rPr>
        <w:t>No Partnership</w:t>
      </w:r>
      <w:r>
        <w:rPr>
          <w:rFonts w:ascii="Times New Roman;Times;Serif" w:hAnsi="Times New Roman;Times;Serif"/>
          <w:b w:val="false"/>
          <w:i w:val="false"/>
          <w:caps w:val="false"/>
          <w:smallCaps w:val="false"/>
          <w:sz w:val="20"/>
        </w:rPr>
        <w:t>. Nothing in this Warrant constitutes a partnership between the parties hereto or constitutes any party as agent of the other party for any purpose whatever and, no party has authority or power to bind the other or to contract in the name of or create liability against the other party in any way or for any purpose.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[STXS Pre-Funded Warrant Signature Page Follows]</w:t>
      </w:r>
    </w:p>
    <w:p>
      <w:pPr>
        <w:pStyle w:val="TextBody"/>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18</w:t>
            </w:r>
          </w:p>
        </w:tc>
      </w:tr>
    </w:tbl>
    <w:p>
      <w:pPr>
        <w:pStyle w:val="TextBody"/>
        <w:bidi w:val="0"/>
        <w:spacing w:before="0" w:after="0"/>
        <w:ind w:left="0" w:right="0" w:hanging="0"/>
        <w:jc w:val="left"/>
        <w:rPr/>
      </w:pPr>
      <w:r>
        <w:rPr/>
        <w:t> </w:t>
      </w:r>
    </w:p>
    <w:p>
      <w:pPr>
        <w:pStyle w:val="TextBody"/>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Company has caused this Pre-Funded Warrant to be executed by its officer thereunto duly authorized as of the date first above indicated.</w:t>
      </w:r>
    </w:p>
    <w:p>
      <w:pPr>
        <w:pStyle w:val="TextBody"/>
        <w:bidi w:val="0"/>
        <w:spacing w:before="0" w:after="0"/>
        <w:ind w:left="4230" w:right="0" w:hanging="0"/>
        <w:jc w:val="left"/>
        <w:rPr>
          <w:caps w:val="false"/>
          <w:smallCaps w:val="false"/>
        </w:rPr>
      </w:pPr>
      <w:r>
        <w:rPr>
          <w:caps w:val="false"/>
          <w:smallCaps w:val="false"/>
        </w:rPr>
        <w:t> </w:t>
      </w:r>
    </w:p>
    <w:tbl>
      <w:tblPr>
        <w:tblW w:w="4255" w:type="dxa"/>
        <w:jc w:val="left"/>
        <w:tblInd w:w="0" w:type="dxa"/>
        <w:tblLayout w:type="fixed"/>
        <w:tblCellMar>
          <w:top w:w="0" w:type="dxa"/>
          <w:left w:w="0" w:type="dxa"/>
          <w:bottom w:w="0" w:type="dxa"/>
          <w:right w:w="0" w:type="dxa"/>
        </w:tblCellMar>
      </w:tblPr>
      <w:tblGrid>
        <w:gridCol w:w="75"/>
        <w:gridCol w:w="545"/>
        <w:gridCol w:w="3635"/>
      </w:tblGrid>
      <w:tr>
        <w:trPr/>
        <w:tc>
          <w:tcPr>
            <w:tcW w:w="75" w:type="dxa"/>
            <w:tcBorders/>
            <w:vAlign w:val="center"/>
          </w:tcPr>
          <w:p>
            <w:pPr>
              <w:pStyle w:val="TableContents"/>
              <w:bidi w:val="0"/>
              <w:spacing w:before="0" w:after="283"/>
              <w:jc w:val="left"/>
              <w:rPr/>
            </w:pPr>
            <w:r>
              <w:rPr/>
              <w:t> </w:t>
            </w:r>
          </w:p>
        </w:tc>
        <w:tc>
          <w:tcPr>
            <w:tcW w:w="4180"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STEREOTAXIS, INC.</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363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635"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363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David L. Fischel</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363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President and Chief Executive Officer</w:t>
            </w:r>
          </w:p>
        </w:tc>
      </w:tr>
    </w:tbl>
    <w:p>
      <w:pPr>
        <w:pStyle w:val="TextBody"/>
        <w:bidi w:val="0"/>
        <w:spacing w:before="0" w:after="0"/>
        <w:ind w:left="423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[STXS Pre-Funded Warrant Signature Page]</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A</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NOTICE OF EXERCISE</w:t>
      </w:r>
    </w:p>
    <w:p>
      <w:pPr>
        <w:pStyle w:val="TextBody"/>
        <w:bidi w:val="0"/>
        <w:spacing w:before="0" w:after="0"/>
        <w:ind w:left="0" w:right="0" w:hanging="0"/>
        <w:jc w:val="left"/>
        <w:rPr>
          <w:caps w:val="false"/>
          <w:smallCaps w:val="false"/>
        </w:rPr>
      </w:pPr>
      <w:r>
        <w:rPr>
          <w:caps w:val="false"/>
          <w:smallCaps w:val="false"/>
        </w:rPr>
        <w:t> </w:t>
      </w:r>
    </w:p>
    <w:tbl>
      <w:tblPr>
        <w:tblW w:w="2110" w:type="dxa"/>
        <w:jc w:val="left"/>
        <w:tblInd w:w="0" w:type="dxa"/>
        <w:tblLayout w:type="fixed"/>
        <w:tblCellMar>
          <w:top w:w="0" w:type="dxa"/>
          <w:left w:w="0" w:type="dxa"/>
          <w:bottom w:w="0" w:type="dxa"/>
          <w:right w:w="0" w:type="dxa"/>
        </w:tblCellMar>
      </w:tblPr>
      <w:tblGrid>
        <w:gridCol w:w="335"/>
        <w:gridCol w:w="1775"/>
      </w:tblGrid>
      <w:tr>
        <w:trPr/>
        <w:tc>
          <w:tcPr>
            <w:tcW w:w="335"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To:</w:t>
            </w:r>
          </w:p>
        </w:tc>
        <w:tc>
          <w:tcPr>
            <w:tcW w:w="1775"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STEREOTAXIS, INC.</w:t>
            </w:r>
          </w:p>
        </w:tc>
      </w:tr>
    </w:tbl>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undersigned hereby elects to purchase ________ Warrant Shares of the Company pursuant to the terms of the attached Warrant, and tenders herewith payment of the exercise price in full, together with all applicable transfer taxes, if any.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Payment shall take the form of (check applicable box):</w:t>
      </w:r>
    </w:p>
    <w:p>
      <w:pPr>
        <w:pStyle w:val="TextBody"/>
        <w:bidi w:val="0"/>
        <w:spacing w:before="0" w:after="0"/>
        <w:ind w:left="2160" w:right="0" w:hanging="0"/>
        <w:jc w:val="both"/>
        <w:rPr>
          <w:caps w:val="false"/>
          <w:smallCaps w:val="false"/>
        </w:rPr>
      </w:pPr>
      <w:r>
        <w:rPr>
          <w:caps w:val="false"/>
          <w:smallCaps w:val="false"/>
        </w:rPr>
        <w:t> </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 in lawful money of the United States; or</w:t>
      </w:r>
    </w:p>
    <w:p>
      <w:pPr>
        <w:pStyle w:val="TextBody"/>
        <w:bidi w:val="0"/>
        <w:spacing w:before="0" w:after="0"/>
        <w:ind w:left="2160" w:right="0" w:hanging="0"/>
        <w:jc w:val="both"/>
        <w:rPr>
          <w:caps w:val="false"/>
          <w:smallCaps w:val="false"/>
        </w:rPr>
      </w:pPr>
      <w:r>
        <w:rPr>
          <w:caps w:val="false"/>
          <w:smallCaps w:val="false"/>
        </w:rPr>
        <w:t> </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 if permitted the cancellation of such number of Warrant Shares as is necessary, in accordance with the formula set forth in subsection 2.3, to exercise this Warrant with respect to the maximum number of Warrant Shares purchasable pursuant to the cashless exercise procedure set forth in subsection 2.3.</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Please issue said Warrant Shares in the name of the undersigned or in such other name as is specified below:</w:t>
      </w:r>
    </w:p>
    <w:p>
      <w:pPr>
        <w:pStyle w:val="TextBody"/>
        <w:pBdr/>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_______________________________</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The undersigned hereby certifies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undersigned is not a “U.S. person” as defined in Rule 902 of Regulation S promulgated under the Securities Act of 1933, as amended (the “Securities Act”), and is not exercising this Warrant on behalf of a U.S.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at the time this Notice of Exercise was originated, the undersigned was outside the United States and is acquiring the Warrant Shares in an “offshore transaction” as defined in Rule 902 of Regulation 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undersigned is not acquiring the Warrant Shares for the account or benefit of any U.S. person;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undersigned understands that the Warrant Shares issuable upon this exercise are subject to the applicable distribution compliance period under Rule 903 of Regulation S and may not be offered or sold to a U.S. person or for the account or benefit of a U.S. person during such period.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Warrant Shares shall be delivered (check applicable box):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 to the following DWAC Account Number:_________________________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 by physical delivery of a certificate to: ____________________________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sz w:val="20"/>
        </w:rPr>
      </w:pPr>
      <w:r>
        <w:rPr>
          <w:rFonts w:ascii="Times New Roman;Times;Serif" w:hAnsi="Times New Roman;Times;Serif"/>
          <w:b w:val="false"/>
          <w:i w:val="false"/>
          <w:caps/>
          <w:sz w:val="20"/>
        </w:rPr>
        <w:t>[SIGNATURE OF HOLDER]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Investing Entity: __________________________________________________________________</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Signature of Authorized Signatory of Investing Entity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_____________________________________________</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Authorized Signatory: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___________________________________________________________________</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of Authorized Signatory: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_______________________________________________________________</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ASSIGNMENT FORM</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(To assign the foregoing Warrant, execute this form and supply required information. Do not use this form to exercise the Warrant to purchase shares of Common Stock.)</w:t>
      </w:r>
    </w:p>
    <w:p>
      <w:pPr>
        <w:pStyle w:val="TextBody"/>
        <w:bidi w:val="0"/>
        <w:spacing w:before="0" w:after="0"/>
        <w:ind w:left="0" w:right="0" w:firstLine="21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VALUE RECEIVED, the foregoing Warrant and all rights evidenced thereby are hereby assigned to</w:t>
      </w:r>
    </w:p>
    <w:p>
      <w:pPr>
        <w:pStyle w:val="TextBody"/>
        <w:bidi w:val="0"/>
        <w:spacing w:before="0" w:after="0"/>
        <w:ind w:left="0" w:right="0" w:firstLine="210"/>
        <w:jc w:val="left"/>
        <w:rPr>
          <w:caps w:val="false"/>
          <w:smallCaps w:val="false"/>
        </w:rPr>
      </w:pPr>
      <w:r>
        <w:rPr>
          <w:caps w:val="false"/>
          <w:smallCaps w:val="false"/>
        </w:rPr>
        <w:t> </w:t>
      </w:r>
    </w:p>
    <w:tbl>
      <w:tblPr>
        <w:tblW w:w="5905" w:type="dxa"/>
        <w:jc w:val="left"/>
        <w:tblInd w:w="0" w:type="dxa"/>
        <w:tblLayout w:type="fixed"/>
        <w:tblCellMar>
          <w:top w:w="0" w:type="dxa"/>
          <w:left w:w="0" w:type="dxa"/>
          <w:bottom w:w="0" w:type="dxa"/>
          <w:right w:w="0" w:type="dxa"/>
        </w:tblCellMar>
      </w:tblPr>
      <w:tblGrid>
        <w:gridCol w:w="4805"/>
        <w:gridCol w:w="1100"/>
      </w:tblGrid>
      <w:tr>
        <w:trPr/>
        <w:tc>
          <w:tcPr>
            <w:tcW w:w="4805" w:type="dxa"/>
            <w:tcBorders/>
            <w:vAlign w:val="center"/>
          </w:tcPr>
          <w:p>
            <w:pPr>
              <w:pStyle w:val="TableContents"/>
              <w:pBd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100" w:type="dxa"/>
            <w:tcBorders>
              <w:bottom w:val="single" w:sz="8" w:space="0" w:color="000000"/>
            </w:tcBorders>
            <w:tcMar>
              <w:bottom w:w="28" w:type="dxa"/>
            </w:tcMar>
            <w:vAlign w:val="center"/>
          </w:tcPr>
          <w:p>
            <w:pPr>
              <w:pStyle w:val="TableContents"/>
              <w:bidi w:val="0"/>
              <w:spacing w:before="0" w:after="283"/>
              <w:ind w:left="0" w:right="0" w:hanging="0"/>
              <w:jc w:val="left"/>
              <w:rPr>
                <w:sz w:val="4"/>
                <w:szCs w:val="4"/>
              </w:rPr>
            </w:pPr>
            <w:r>
              <w:rPr>
                <w:sz w:val="4"/>
                <w:szCs w:val="4"/>
              </w:rPr>
            </w:r>
          </w:p>
        </w:tc>
      </w:tr>
      <w:tr>
        <w:trPr/>
        <w:tc>
          <w:tcPr>
            <w:tcW w:w="4805"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pBd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Print)</w:t>
            </w:r>
          </w:p>
        </w:tc>
      </w:tr>
      <w:tr>
        <w:trPr/>
        <w:tc>
          <w:tcPr>
            <w:tcW w:w="4805" w:type="dxa"/>
            <w:tcBorders/>
            <w:vAlign w:val="center"/>
          </w:tcPr>
          <w:p>
            <w:pPr>
              <w:pStyle w:val="TableContents"/>
              <w:pBd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w:t>
            </w:r>
          </w:p>
        </w:tc>
        <w:tc>
          <w:tcPr>
            <w:tcW w:w="1100" w:type="dxa"/>
            <w:tcBorders/>
            <w:vAlign w:val="center"/>
          </w:tcPr>
          <w:p>
            <w:pPr>
              <w:pStyle w:val="TableContents"/>
              <w:bidi w:val="0"/>
              <w:spacing w:before="0" w:after="283"/>
              <w:ind w:left="0" w:right="0" w:hanging="0"/>
              <w:jc w:val="left"/>
              <w:rPr>
                <w:sz w:val="4"/>
                <w:szCs w:val="4"/>
              </w:rPr>
            </w:pPr>
            <w:r>
              <w:rPr>
                <w:sz w:val="4"/>
                <w:szCs w:val="4"/>
              </w:rPr>
            </w:r>
          </w:p>
        </w:tc>
      </w:tr>
      <w:tr>
        <w:trPr/>
        <w:tc>
          <w:tcPr>
            <w:tcW w:w="4805" w:type="dxa"/>
            <w:tcBorders/>
            <w:vAlign w:val="center"/>
          </w:tcPr>
          <w:p>
            <w:pPr>
              <w:pStyle w:val="TableContents"/>
              <w:bidi w:val="0"/>
              <w:spacing w:before="0" w:after="283"/>
              <w:jc w:val="left"/>
              <w:rPr>
                <w:caps w:val="false"/>
                <w:smallCaps w:val="false"/>
              </w:rPr>
            </w:pPr>
            <w:r>
              <w:rPr>
                <w:caps w:val="false"/>
                <w:smallCaps w:val="false"/>
              </w:rPr>
              <w:t> </w:t>
            </w:r>
          </w:p>
        </w:tc>
        <w:tc>
          <w:tcPr>
            <w:tcW w:w="1100"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4805"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110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Print)</w:t>
            </w:r>
          </w:p>
        </w:tc>
      </w:tr>
      <w:tr>
        <w:trPr/>
        <w:tc>
          <w:tcPr>
            <w:tcW w:w="4805" w:type="dxa"/>
            <w:tcBorders/>
            <w:vAlign w:val="center"/>
          </w:tcPr>
          <w:p>
            <w:pPr>
              <w:pStyle w:val="TableContents"/>
              <w:bidi w:val="0"/>
              <w:spacing w:before="0" w:after="283"/>
              <w:jc w:val="left"/>
              <w:rPr>
                <w:caps w:val="false"/>
                <w:smallCaps w:val="false"/>
              </w:rPr>
            </w:pPr>
            <w:r>
              <w:rPr>
                <w:caps w:val="false"/>
                <w:smallCaps w:val="false"/>
              </w:rPr>
              <w:t> </w:t>
            </w:r>
          </w:p>
        </w:tc>
        <w:tc>
          <w:tcPr>
            <w:tcW w:w="11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805" w:type="dxa"/>
            <w:tcBorders/>
            <w:vAlign w:val="center"/>
          </w:tcPr>
          <w:p>
            <w:pPr>
              <w:pStyle w:val="TableContents"/>
              <w:bidi w:val="0"/>
              <w:spacing w:before="0" w:after="283"/>
              <w:jc w:val="left"/>
              <w:rPr>
                <w:caps w:val="false"/>
                <w:smallCaps w:val="false"/>
              </w:rPr>
            </w:pPr>
            <w:r>
              <w:rPr>
                <w:caps w:val="false"/>
                <w:smallCaps w:val="false"/>
              </w:rPr>
              <w:t> </w:t>
            </w:r>
          </w:p>
        </w:tc>
        <w:tc>
          <w:tcPr>
            <w:tcW w:w="11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8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Phone Number:</w:t>
            </w:r>
          </w:p>
        </w:tc>
        <w:tc>
          <w:tcPr>
            <w:tcW w:w="1100"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4805" w:type="dxa"/>
            <w:tcBorders/>
            <w:vAlign w:val="center"/>
          </w:tcPr>
          <w:p>
            <w:pPr>
              <w:pStyle w:val="TableContents"/>
              <w:bidi w:val="0"/>
              <w:spacing w:before="0" w:after="283"/>
              <w:jc w:val="left"/>
              <w:rPr>
                <w:caps w:val="false"/>
                <w:smallCaps w:val="false"/>
              </w:rPr>
            </w:pPr>
            <w:r>
              <w:rPr>
                <w:caps w:val="false"/>
                <w:smallCaps w:val="false"/>
              </w:rPr>
              <w:t> </w:t>
            </w:r>
          </w:p>
        </w:tc>
        <w:tc>
          <w:tcPr>
            <w:tcW w:w="11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8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Address:</w:t>
            </w:r>
          </w:p>
        </w:tc>
        <w:tc>
          <w:tcPr>
            <w:tcW w:w="1100"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4805" w:type="dxa"/>
            <w:tcBorders/>
            <w:vAlign w:val="center"/>
          </w:tcPr>
          <w:p>
            <w:pPr>
              <w:pStyle w:val="TableContents"/>
              <w:bidi w:val="0"/>
              <w:spacing w:before="0" w:after="283"/>
              <w:jc w:val="left"/>
              <w:rPr>
                <w:caps w:val="false"/>
                <w:smallCaps w:val="false"/>
              </w:rPr>
            </w:pPr>
            <w:r>
              <w:rPr>
                <w:caps w:val="false"/>
                <w:smallCaps w:val="false"/>
              </w:rPr>
              <w:t> </w:t>
            </w:r>
          </w:p>
        </w:tc>
        <w:tc>
          <w:tcPr>
            <w:tcW w:w="11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805" w:type="dxa"/>
            <w:tcBorders/>
            <w:vAlign w:val="center"/>
          </w:tcPr>
          <w:p>
            <w:pPr>
              <w:pStyle w:val="TableContents"/>
              <w:pBd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_______________ __, ______</w:t>
            </w:r>
          </w:p>
        </w:tc>
        <w:tc>
          <w:tcPr>
            <w:tcW w:w="1100" w:type="dxa"/>
            <w:tcBorders/>
            <w:vAlign w:val="center"/>
          </w:tcPr>
          <w:p>
            <w:pPr>
              <w:pStyle w:val="TableContents"/>
              <w:bidi w:val="0"/>
              <w:spacing w:before="0" w:after="283"/>
              <w:jc w:val="left"/>
              <w:rPr>
                <w:sz w:val="4"/>
                <w:szCs w:val="4"/>
              </w:rPr>
            </w:pPr>
            <w:r>
              <w:rPr>
                <w:sz w:val="4"/>
                <w:szCs w:val="4"/>
              </w:rPr>
            </w:r>
          </w:p>
        </w:tc>
      </w:tr>
      <w:tr>
        <w:trPr/>
        <w:tc>
          <w:tcPr>
            <w:tcW w:w="4805" w:type="dxa"/>
            <w:tcBorders/>
            <w:vAlign w:val="center"/>
          </w:tcPr>
          <w:p>
            <w:pPr>
              <w:pStyle w:val="TableContents"/>
              <w:bidi w:val="0"/>
              <w:spacing w:before="0" w:after="283"/>
              <w:jc w:val="left"/>
              <w:rPr>
                <w:caps w:val="false"/>
                <w:smallCaps w:val="false"/>
              </w:rPr>
            </w:pPr>
            <w:r>
              <w:rPr>
                <w:caps w:val="false"/>
                <w:smallCaps w:val="false"/>
              </w:rPr>
              <w:t> </w:t>
            </w:r>
          </w:p>
        </w:tc>
        <w:tc>
          <w:tcPr>
            <w:tcW w:w="11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805" w:type="dxa"/>
            <w:tcBorders/>
            <w:vAlign w:val="center"/>
          </w:tcPr>
          <w:p>
            <w:pPr>
              <w:pStyle w:val="TableContents"/>
              <w:pBd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Signature: ______________________________</w:t>
            </w:r>
          </w:p>
        </w:tc>
        <w:tc>
          <w:tcPr>
            <w:tcW w:w="1100" w:type="dxa"/>
            <w:tcBorders/>
            <w:vAlign w:val="center"/>
          </w:tcPr>
          <w:p>
            <w:pPr>
              <w:pStyle w:val="TableContents"/>
              <w:bidi w:val="0"/>
              <w:spacing w:before="0" w:after="283"/>
              <w:jc w:val="left"/>
              <w:rPr>
                <w:sz w:val="4"/>
                <w:szCs w:val="4"/>
              </w:rPr>
            </w:pPr>
            <w:r>
              <w:rPr>
                <w:sz w:val="4"/>
                <w:szCs w:val="4"/>
              </w:rPr>
            </w:r>
          </w:p>
        </w:tc>
      </w:tr>
      <w:tr>
        <w:trPr/>
        <w:tc>
          <w:tcPr>
            <w:tcW w:w="4805" w:type="dxa"/>
            <w:tcBorders/>
            <w:vAlign w:val="center"/>
          </w:tcPr>
          <w:p>
            <w:pPr>
              <w:pStyle w:val="TableContents"/>
              <w:bidi w:val="0"/>
              <w:spacing w:before="0" w:after="283"/>
              <w:jc w:val="left"/>
              <w:rPr>
                <w:caps w:val="false"/>
                <w:smallCaps w:val="false"/>
              </w:rPr>
            </w:pPr>
            <w:r>
              <w:rPr>
                <w:caps w:val="false"/>
                <w:smallCaps w:val="false"/>
              </w:rPr>
              <w:t> </w:t>
            </w:r>
          </w:p>
        </w:tc>
        <w:tc>
          <w:tcPr>
            <w:tcW w:w="11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805" w:type="dxa"/>
            <w:tcBorders/>
            <w:vAlign w:val="center"/>
          </w:tcPr>
          <w:p>
            <w:pPr>
              <w:pStyle w:val="TableContents"/>
              <w:pBd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Address: _______________________________</w:t>
            </w:r>
          </w:p>
        </w:tc>
        <w:tc>
          <w:tcPr>
            <w:tcW w:w="110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ind w:left="0" w:right="0" w:hanging="0"/>
        <w:jc w:val="left"/>
        <w:rPr>
          <w:caps w:val="false"/>
          <w:smallCaps w:val="false"/>
        </w:rPr>
      </w:pPr>
      <w:bookmarkStart w:id="20" w:name="ex5-1.htm"/>
      <w:bookmarkStart w:id="21" w:name="ksex51"/>
      <w:bookmarkEnd w:id="20"/>
      <w:bookmarkEnd w:id="21"/>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5.1</w:t>
      </w:r>
    </w:p>
    <w:p>
      <w:pPr>
        <w:pStyle w:val="TextBody"/>
        <w:bidi w:val="0"/>
        <w:spacing w:before="0" w:after="0"/>
        <w:ind w:left="0" w:right="0" w:hanging="0"/>
        <w:jc w:val="left"/>
        <w:rPr>
          <w:caps w:val="false"/>
          <w:smallCaps w:val="false"/>
        </w:rPr>
      </w:pPr>
      <w:r>
        <w:rPr>
          <w:caps w:val="false"/>
          <w:smallCaps w:val="false"/>
        </w:rPr>
        <w:t> </w:t>
      </w:r>
    </w:p>
    <w:tbl>
      <w:tblPr>
        <w:tblW w:w="4910" w:type="dxa"/>
        <w:jc w:val="left"/>
        <w:tblInd w:w="0" w:type="dxa"/>
        <w:tblLayout w:type="fixed"/>
        <w:tblCellMar>
          <w:top w:w="0" w:type="dxa"/>
          <w:left w:w="0" w:type="dxa"/>
          <w:bottom w:w="0" w:type="dxa"/>
          <w:right w:w="0" w:type="dxa"/>
        </w:tblCellMar>
      </w:tblPr>
      <w:tblGrid>
        <w:gridCol w:w="1145"/>
        <w:gridCol w:w="3765"/>
      </w:tblGrid>
      <w:tr>
        <w:trPr/>
        <w:tc>
          <w:tcPr>
            <w:tcW w:w="11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15, 2026</w:t>
            </w:r>
          </w:p>
        </w:tc>
        <w:tc>
          <w:tcPr>
            <w:tcW w:w="3765" w:type="dxa"/>
            <w:tcBorders/>
            <w:vAlign w:val="center"/>
          </w:tcPr>
          <w:p>
            <w:pPr>
              <w:pStyle w:val="TableContents"/>
              <w:bidi w:val="0"/>
              <w:spacing w:before="0" w:after="283"/>
              <w:jc w:val="right"/>
              <w:rPr>
                <w:caps w:val="false"/>
                <w:smallCaps w:val="false"/>
              </w:rPr>
            </w:pPr>
            <w:r>
              <w:rPr>
                <w:caps w:val="false"/>
                <w:smallCaps w:val="false"/>
              </w:rPr>
              <w:drawing>
                <wp:inline distT="0" distB="0" distL="0" distR="0">
                  <wp:extent cx="2381250" cy="49434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17"/>
                          <a:stretch>
                            <a:fillRect/>
                          </a:stretch>
                        </pic:blipFill>
                        <pic:spPr bwMode="auto">
                          <a:xfrm>
                            <a:off x="0" y="0"/>
                            <a:ext cx="2381250" cy="4943475"/>
                          </a:xfrm>
                          <a:prstGeom prst="rect">
                            <a:avLst/>
                          </a:prstGeom>
                        </pic:spPr>
                      </pic:pic>
                    </a:graphicData>
                  </a:graphic>
                </wp:inline>
              </w:drawing>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Stereotaxis, Inc.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710 North Tucker Boulevard, Suite 110</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 Louis, Missouri 63101</w:t>
      </w:r>
    </w:p>
    <w:p>
      <w:pPr>
        <w:pStyle w:val="TextBody"/>
        <w:bidi w:val="0"/>
        <w:spacing w:before="0" w:after="0"/>
        <w:ind w:left="0" w:right="0" w:hanging="0"/>
        <w:jc w:val="left"/>
        <w:rPr>
          <w:caps w:val="false"/>
          <w:smallCaps w:val="false"/>
        </w:rPr>
      </w:pPr>
      <w:r>
        <w:rPr>
          <w:caps w:val="false"/>
          <w:smallCaps w:val="false"/>
        </w:rPr>
        <w:t> </w:t>
      </w:r>
    </w:p>
    <w:tbl>
      <w:tblPr>
        <w:tblW w:w="3250" w:type="dxa"/>
        <w:jc w:val="left"/>
        <w:tblInd w:w="0" w:type="dxa"/>
        <w:tblLayout w:type="fixed"/>
        <w:tblCellMar>
          <w:top w:w="0" w:type="dxa"/>
          <w:left w:w="0" w:type="dxa"/>
          <w:bottom w:w="0" w:type="dxa"/>
          <w:right w:w="0" w:type="dxa"/>
        </w:tblCellMar>
      </w:tblPr>
      <w:tblGrid>
        <w:gridCol w:w="320"/>
        <w:gridCol w:w="2930"/>
      </w:tblGrid>
      <w:tr>
        <w:trPr/>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w:t>
            </w:r>
          </w:p>
        </w:tc>
        <w:tc>
          <w:tcPr>
            <w:tcW w:w="293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Stereotaxis, Inc.</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Registration Statement on Form S-3</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have acted as special counsel to Stereotaxis, Inc., a Delaware corporation (the “Company”), </w:t>
      </w:r>
      <w:r>
        <w:rPr>
          <w:rFonts w:ascii="Times New Roman;Times;Serif" w:hAnsi="Times New Roman;Times;Serif"/>
          <w:b w:val="false"/>
          <w:i w:val="false"/>
          <w:caps w:val="false"/>
          <w:smallCaps w:val="false"/>
          <w:sz w:val="20"/>
          <w:shd w:fill="FFFFFF" w:val="clear"/>
        </w:rPr>
        <w:t xml:space="preserve">in connection with the offer and resale of an aggregate of </w:t>
      </w:r>
      <w:r>
        <w:rPr>
          <w:rFonts w:ascii="Times New Roman;Times;Serif" w:hAnsi="Times New Roman;Times;Serif"/>
          <w:b w:val="false"/>
          <w:i w:val="false"/>
          <w:caps w:val="false"/>
          <w:smallCaps w:val="false"/>
          <w:sz w:val="20"/>
        </w:rPr>
        <w:t xml:space="preserve">up to 19,449,603 shares (the “Shares”) of the Company’s common stock, par value $0.001 per share (the “Common Stock”), </w:t>
      </w:r>
      <w:r>
        <w:rPr>
          <w:rFonts w:ascii="Times New Roman;Times;Serif" w:hAnsi="Times New Roman;Times;Serif"/>
          <w:b w:val="false"/>
          <w:i w:val="false"/>
          <w:caps w:val="false"/>
          <w:smallCaps w:val="false"/>
          <w:sz w:val="20"/>
          <w:shd w:fill="FFFFFF" w:val="clear"/>
        </w:rPr>
        <w:t xml:space="preserve">pursuant to the Company’s Registration Statement on Form S-3 (the “Registration Statement”) filed by the Company with the Securities and Exchange Commission (the “SEC”) under the Securities Act of 1933, as amended (the “Securities Act”), on the date hereof, on behalf of the selling stockholders named therein. The Shares consist of (i) </w:t>
      </w:r>
      <w:r>
        <w:rPr>
          <w:rFonts w:ascii="Times New Roman;Times;Serif" w:hAnsi="Times New Roman;Times;Serif"/>
          <w:b w:val="false"/>
          <w:i w:val="false"/>
          <w:caps w:val="false"/>
          <w:smallCaps w:val="false"/>
          <w:sz w:val="20"/>
        </w:rPr>
        <w:t xml:space="preserve">6,269,628 </w:t>
      </w:r>
      <w:r>
        <w:rPr>
          <w:rFonts w:ascii="Times New Roman;Times;Serif" w:hAnsi="Times New Roman;Times;Serif"/>
          <w:b w:val="false"/>
          <w:i w:val="false"/>
          <w:caps w:val="false"/>
          <w:smallCaps w:val="false"/>
          <w:sz w:val="20"/>
          <w:shd w:fill="FFFFFF" w:val="clear"/>
        </w:rPr>
        <w:t xml:space="preserve">Shares (including Shares issuable upon exercise of certain warrants (the “Purchaser Warrants”) issued to one of the Selling Stockholders (as defined below) in lieu of Closing Shares </w:t>
      </w:r>
      <w:r>
        <w:rPr>
          <w:rFonts w:ascii="Times New Roman;Times;Serif" w:hAnsi="Times New Roman;Times;Serif"/>
          <w:b w:val="false"/>
          <w:i w:val="false"/>
          <w:caps w:val="false"/>
          <w:smallCaps w:val="false"/>
          <w:sz w:val="20"/>
        </w:rPr>
        <w:t>and Shares issued to a financial advisor as partial payment of a success fee for acquisition advisory services</w:t>
      </w:r>
      <w:r>
        <w:rPr>
          <w:rFonts w:ascii="Times New Roman;Times;Serif" w:hAnsi="Times New Roman;Times;Serif"/>
          <w:b w:val="false"/>
          <w:i w:val="false"/>
          <w:caps w:val="false"/>
          <w:smallCaps w:val="false"/>
          <w:sz w:val="20"/>
          <w:shd w:fill="FFFFFF" w:val="clear"/>
        </w:rPr>
        <w:t>) (the “Closing Shares”) issued at the closing of the transactions contemplated by the Share Sale Agreement dated as of April 14, 2026 (the “Share Sale Agreement”), by and among the Company, Robocath</w:t>
      </w:r>
      <w:r>
        <w:rPr>
          <w:rFonts w:ascii="Times New Roman;Times;Serif" w:hAnsi="Times New Roman;Times;Serif"/>
          <w:b w:val="false"/>
          <w:i w:val="false"/>
          <w:caps w:val="false"/>
          <w:smallCaps w:val="false"/>
          <w:sz w:val="20"/>
        </w:rPr>
        <w:t xml:space="preserve">, a French </w:t>
      </w:r>
      <w:r>
        <w:rPr>
          <w:rFonts w:ascii="Times New Roman;Times;Serif" w:hAnsi="Times New Roman;Times;Serif"/>
          <w:b w:val="false"/>
          <w:i/>
          <w:caps w:val="false"/>
          <w:smallCaps w:val="false"/>
          <w:sz w:val="20"/>
        </w:rPr>
        <w:t>société par actions simplifiée</w:t>
      </w:r>
      <w:r>
        <w:rPr>
          <w:rFonts w:ascii="Times New Roman;Times;Serif" w:hAnsi="Times New Roman;Times;Serif"/>
          <w:b w:val="false"/>
          <w:i w:val="false"/>
          <w:caps w:val="false"/>
          <w:smallCaps w:val="false"/>
          <w:sz w:val="20"/>
        </w:rPr>
        <w:t xml:space="preserve"> (“Robocath”)</w:t>
      </w:r>
      <w:r>
        <w:rPr>
          <w:rFonts w:ascii="Times New Roman;Times;Serif" w:hAnsi="Times New Roman;Times;Serif"/>
          <w:b w:val="false"/>
          <w:i w:val="false"/>
          <w:caps w:val="false"/>
          <w:smallCaps w:val="false"/>
          <w:sz w:val="20"/>
          <w:shd w:fill="FFFFFF" w:val="clear"/>
        </w:rPr>
        <w:t>, the securityholders of Robocath party thereto and an individual serving as manager; and (ii) an estimated 13,179,975 additional Shares (including Shares issuable upon exercise of Purchaser Warrants issued to any Selling Stockholder in lieu of Earnout Shares) (the “Earnout Shares”) issuable to the securityholders of Robocath and Robocath’s financial advisor named in the Registration Statement (each, a “Selling Stockholder” and collectively, the “Selling Stockholders”) upon the achievement of certain milestones, as described in the Share Sale Agreement.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herewith, we have examined:</w:t>
      </w:r>
    </w:p>
    <w:p>
      <w:pPr>
        <w:pStyle w:val="TextBody"/>
        <w:bidi w:val="0"/>
        <w:spacing w:before="0" w:after="0"/>
        <w:ind w:left="0" w:right="0" w:hanging="0"/>
        <w:jc w:val="left"/>
        <w:rPr>
          <w:caps w:val="false"/>
          <w:smallCaps w:val="false"/>
        </w:rPr>
      </w:pPr>
      <w:r>
        <w:rPr>
          <w:caps w:val="false"/>
          <w:smallCaps w:val="false"/>
        </w:rPr>
        <w:t> </w:t>
      </w:r>
    </w:p>
    <w:tbl>
      <w:tblPr>
        <w:tblW w:w="2575" w:type="dxa"/>
        <w:jc w:val="left"/>
        <w:tblInd w:w="0" w:type="dxa"/>
        <w:tblLayout w:type="fixed"/>
        <w:tblCellMar>
          <w:top w:w="0" w:type="dxa"/>
          <w:left w:w="0" w:type="dxa"/>
          <w:bottom w:w="0" w:type="dxa"/>
          <w:right w:w="0" w:type="dxa"/>
        </w:tblCellMar>
      </w:tblPr>
      <w:tblGrid>
        <w:gridCol w:w="75"/>
        <w:gridCol w:w="245"/>
        <w:gridCol w:w="225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22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Registration Statement;</w:t>
            </w:r>
          </w:p>
        </w:tc>
      </w:tr>
    </w:tbl>
    <w:p>
      <w:pPr>
        <w:pStyle w:val="TextBody"/>
        <w:bidi w:val="0"/>
        <w:spacing w:before="0" w:after="0"/>
        <w:ind w:left="0" w:right="0" w:hanging="0"/>
        <w:jc w:val="left"/>
        <w:rPr>
          <w:caps w:val="false"/>
          <w:smallCaps w:val="false"/>
        </w:rPr>
      </w:pPr>
      <w:r>
        <w:rPr>
          <w:caps w:val="false"/>
          <w:smallCaps w:val="false"/>
        </w:rPr>
        <w:t> </w:t>
      </w:r>
    </w:p>
    <w:tbl>
      <w:tblPr>
        <w:tblW w:w="2485" w:type="dxa"/>
        <w:jc w:val="left"/>
        <w:tblInd w:w="0" w:type="dxa"/>
        <w:tblLayout w:type="fixed"/>
        <w:tblCellMar>
          <w:top w:w="0" w:type="dxa"/>
          <w:left w:w="0" w:type="dxa"/>
          <w:bottom w:w="0" w:type="dxa"/>
          <w:right w:w="0" w:type="dxa"/>
        </w:tblCellMar>
      </w:tblPr>
      <w:tblGrid>
        <w:gridCol w:w="75"/>
        <w:gridCol w:w="245"/>
        <w:gridCol w:w="216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21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 Sale Agreement;</w:t>
            </w:r>
          </w:p>
        </w:tc>
      </w:tr>
    </w:tbl>
    <w:p>
      <w:pPr>
        <w:pStyle w:val="TextBody"/>
        <w:bidi w:val="0"/>
        <w:spacing w:before="0" w:after="0"/>
        <w:ind w:left="0" w:right="0" w:hanging="0"/>
        <w:jc w:val="left"/>
        <w:rPr>
          <w:caps w:val="false"/>
          <w:smallCaps w:val="false"/>
        </w:rPr>
      </w:pPr>
      <w:r>
        <w:rPr>
          <w:caps w:val="false"/>
          <w:smallCaps w:val="false"/>
        </w:rPr>
        <w:t> </w:t>
      </w:r>
    </w:p>
    <w:tbl>
      <w:tblPr>
        <w:tblW w:w="8830" w:type="dxa"/>
        <w:jc w:val="left"/>
        <w:tblInd w:w="0" w:type="dxa"/>
        <w:tblLayout w:type="fixed"/>
        <w:tblCellMar>
          <w:top w:w="0" w:type="dxa"/>
          <w:left w:w="0" w:type="dxa"/>
          <w:bottom w:w="0" w:type="dxa"/>
          <w:right w:w="0" w:type="dxa"/>
        </w:tblCellMar>
      </w:tblPr>
      <w:tblGrid>
        <w:gridCol w:w="75"/>
        <w:gridCol w:w="245"/>
        <w:gridCol w:w="851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85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Amended and Restated Certificate of Incorporation of the Company, as amended (the “Charter”); and</w:t>
            </w:r>
          </w:p>
        </w:tc>
      </w:tr>
    </w:tbl>
    <w:p>
      <w:pPr>
        <w:pStyle w:val="TextBody"/>
        <w:bidi w:val="0"/>
        <w:spacing w:before="0" w:after="0"/>
        <w:ind w:left="0" w:right="0" w:hanging="0"/>
        <w:jc w:val="left"/>
        <w:rPr>
          <w:caps w:val="false"/>
          <w:smallCaps w:val="false"/>
        </w:rPr>
      </w:pPr>
      <w:r>
        <w:rPr>
          <w:caps w:val="false"/>
          <w:smallCaps w:val="false"/>
        </w:rPr>
        <w:t> </w:t>
      </w:r>
    </w:p>
    <w:tbl>
      <w:tblPr>
        <w:tblW w:w="5605" w:type="dxa"/>
        <w:jc w:val="left"/>
        <w:tblInd w:w="0" w:type="dxa"/>
        <w:tblLayout w:type="fixed"/>
        <w:tblCellMar>
          <w:top w:w="0" w:type="dxa"/>
          <w:left w:w="0" w:type="dxa"/>
          <w:bottom w:w="0" w:type="dxa"/>
          <w:right w:w="0" w:type="dxa"/>
        </w:tblCellMar>
      </w:tblPr>
      <w:tblGrid>
        <w:gridCol w:w="75"/>
        <w:gridCol w:w="245"/>
        <w:gridCol w:w="528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52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Amended and Restated Bylaws of the Company, as amended.</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also examined originals or copies, certified or otherwise identified to our satisfaction, of such other corporate records, agreements and instruments of the Company, statements and certificates of public officials and officers of the Company, and such other documents, records and instruments, and we have made such legal and factual inquiries, as we have deemed necessary or appropriate as a basis for us to render the opinions hereinafter expressed. In our examination of the foregoing, we have assumed the genuineness of all signatures, the legal competence and capacity of natural persons, the authenticity of documents submitted to us as originals and the conformity with authentic original documents of all documents submitted to us as copies or by facsimile or other means of electronic transmission, or which we obtained from the Securities and Exchange Commission’s (“SEC”) Electronic Data Gathering, Analysis and Retrieval system (“Edgar”) or other sites maintained by a court or governmental authority or regulatory body and the authenticity of the originals of such latter documents. If any documents we examined in printed, word processed or similar form have been filed with the SEC on Edgar or such court or governmental authority or regulatory body, we have assumed that the document so filed is identical to the document we examined except for formatting changes. When relevant facts were not independently established, we have relied without independent investigation as to matters of fact upon statements of governmental officials and upon representations made in or pursuant to the certificates and statements of appropriate representatives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herewith, we have assumed that, other than with respect to the Company, all of the documents referred to in this opinion letter have been duly authorized by, have been duly executed and delivered by, and constitute the valid, binding and enforceable obligations of, all of the parties to such documents, all of the signatories to such documents have been duly authorized and all such parties are duly organized and validly existing and have the power and authority (corporate or other) to execute, deliver and perform such documents.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upon the foregoing and in reliance thereon, and subject to the assumptions, comments, qualifications, limitations and exceptions set forth herein, we are of the opinion that (i) the Closing Shares (other than the Closing Shares issuable upon exercise of any Purchaser Warrants) have been duly authorized and are validly issued, fully paid and non-assessable and (ii) the Closing Shares issuable upon exercise of any Purchaser Warrants and the Earnout Shares (a) have been duly authorized and (b) when issued and delivered in accordance with the Purchaser Warrants or the Share Sale Agreement, as applicable, and assuming that upon issuance thereof, such Shares together with all shares of Common Stock previously issued or reserved for issuance and not duly and lawfully retired do not exceed the number of shares authorized for issuance pursuant to the Charter at such time, will be validly issued, fully paid and non-assessable.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opinion is not rendered with respect to any laws other than the General Corporation Law of the State of Delaware. The opinions set forth herein are made as of the date hereof and are subject to, and may be limited by, future changes in the factual matters set forth herein, and we undertake no duty to advise you of the same. The opinions expressed herein are based upon the law in effect (and published or otherwise generally available) on the date hereof, and we assume no obligation to revise or supplement these opinions should such law be changed by legislative action, judicial decision or otherwise. In rendering our opinions, we have not considered, and hereby disclaim any opinion as to, the application or impact of any laws, cases, decisions, rules or regulations of any other jurisdiction, court or administrative agency.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opinion is being delivered by us in connection with the filing of the Registration Statement with the SEC. We do not render any opinions except as set forth above. We hereby consent to the filing of this opinion as Exhibit 5.1 to the Registration Statement and to the use of our name under the caption “</w:t>
      </w:r>
      <w:r>
        <w:rPr>
          <w:rFonts w:ascii="Times New Roman;Times;Serif" w:hAnsi="Times New Roman;Times;Serif"/>
          <w:b w:val="false"/>
          <w:i/>
          <w:caps w:val="false"/>
          <w:smallCaps w:val="false"/>
          <w:sz w:val="20"/>
        </w:rPr>
        <w:t>Legal Matters</w:t>
      </w:r>
      <w:r>
        <w:rPr>
          <w:rFonts w:ascii="Times New Roman;Times;Serif" w:hAnsi="Times New Roman;Times;Serif"/>
          <w:b w:val="false"/>
          <w:i w:val="false"/>
          <w:caps w:val="false"/>
          <w:smallCaps w:val="false"/>
          <w:sz w:val="20"/>
        </w:rPr>
        <w:t>” in the prospectus which forms part of the Registration Statement. We also consent to your filing copies of this opinion as an exhibit to the Registration Statement with such agencies of such states as you deem necessary in the course of complying with the laws of such states regarding the offering and sale of the securities addressed herein. In giving such consent, we do not thereby concede that we are within the category of persons whose consent is required under Section 7 of the Securities Act or the rules and regulations of the SEC promulgated thereunder.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Very truly yours,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Bryan Cave Leighton Paisner LLP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Bryan Cave Leighton Paisner LLP</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22" w:name="ex10-1.htm"/>
      <w:bookmarkStart w:id="23" w:name="ksex101"/>
      <w:bookmarkEnd w:id="22"/>
      <w:bookmarkEnd w:id="23"/>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10.1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RESALE ORGANIZATION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Resale Organization Agreement (this “</w:t>
      </w:r>
      <w:r>
        <w:rPr>
          <w:rFonts w:ascii="Times New Roman;Times;Serif" w:hAnsi="Times New Roman;Times;Serif"/>
          <w:b/>
          <w:i w:val="false"/>
          <w:caps w:val="false"/>
          <w:smallCaps w:val="false"/>
          <w:sz w:val="20"/>
        </w:rPr>
        <w:t>Agreement</w:t>
      </w:r>
      <w:r>
        <w:rPr>
          <w:rFonts w:ascii="Times New Roman;Times;Serif" w:hAnsi="Times New Roman;Times;Serif"/>
          <w:b w:val="false"/>
          <w:i w:val="false"/>
          <w:caps w:val="false"/>
          <w:smallCaps w:val="false"/>
          <w:sz w:val="20"/>
        </w:rPr>
        <w:t>”) is entered into as of April 14, 2026, by and among Stereotaxis, Inc., a Delaware corporation (the “</w:t>
      </w:r>
      <w:r>
        <w:rPr>
          <w:rFonts w:ascii="Times New Roman;Times;Serif" w:hAnsi="Times New Roman;Times;Serif"/>
          <w:b/>
          <w:i w:val="false"/>
          <w:caps w:val="false"/>
          <w:smallCaps w:val="false"/>
          <w:sz w:val="20"/>
        </w:rPr>
        <w:t>Purchaser</w:t>
      </w:r>
      <w:r>
        <w:rPr>
          <w:rFonts w:ascii="Times New Roman;Times;Serif" w:hAnsi="Times New Roman;Times;Serif"/>
          <w:b w:val="false"/>
          <w:i w:val="false"/>
          <w:caps w:val="false"/>
          <w:smallCaps w:val="false"/>
          <w:sz w:val="20"/>
        </w:rPr>
        <w:t>”), and the sellers listed on Exhibit A hereto (each, a “</w:t>
      </w:r>
      <w:r>
        <w:rPr>
          <w:rFonts w:ascii="Times New Roman;Times;Serif" w:hAnsi="Times New Roman;Times;Serif"/>
          <w:b/>
          <w:i w:val="false"/>
          <w:caps w:val="false"/>
          <w:smallCaps w:val="false"/>
          <w:sz w:val="20"/>
        </w:rPr>
        <w:t>Seller</w:t>
      </w:r>
      <w:r>
        <w:rPr>
          <w:rFonts w:ascii="Times New Roman;Times;Serif" w:hAnsi="Times New Roman;Times;Serif"/>
          <w:b w:val="false"/>
          <w:i w:val="false"/>
          <w:caps w:val="false"/>
          <w:smallCaps w:val="false"/>
          <w:sz w:val="20"/>
        </w:rPr>
        <w:t>,” and collectively, the “</w:t>
      </w:r>
      <w:r>
        <w:rPr>
          <w:rFonts w:ascii="Times New Roman;Times;Serif" w:hAnsi="Times New Roman;Times;Serif"/>
          <w:b/>
          <w:i w:val="false"/>
          <w:caps w:val="false"/>
          <w:smallCaps w:val="false"/>
          <w:sz w:val="20"/>
        </w:rPr>
        <w:t>Sellers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RECITALS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Purchaser and the Sellers have entered into that certain Share Sale Agreement, dated as of April 14, 2026 (the “</w:t>
      </w:r>
      <w:r>
        <w:rPr>
          <w:rFonts w:ascii="Times New Roman;Times;Serif" w:hAnsi="Times New Roman;Times;Serif"/>
          <w:b/>
          <w:i w:val="false"/>
          <w:caps w:val="false"/>
          <w:smallCaps w:val="false"/>
          <w:sz w:val="20"/>
        </w:rPr>
        <w:t>SPA</w:t>
      </w:r>
      <w:r>
        <w:rPr>
          <w:rFonts w:ascii="Times New Roman;Times;Serif" w:hAnsi="Times New Roman;Times;Serif"/>
          <w:b w:val="false"/>
          <w:i w:val="false"/>
          <w:caps w:val="false"/>
          <w:smallCaps w:val="false"/>
          <w:sz w:val="20"/>
        </w:rPr>
        <w:t>”), pursuant to which Purchaser has agreed to issue to the Sellers shares of Purchaser Common Stock and Purchaser Warrants as consideration for the acquisition of their securities of Robocath S.A.;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pursuant to Section 2.2(a)(v) of the SPA, the parties have agreed to enter into this Agreement to govern the orderly resale of Registrable Securities following the Closing;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in consideration of the mutual covenants and agreements set forth herein, and for other good and valuable consideration, the receipt and sufficiency of which are hereby acknowledged, the parties hereto agree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 — DEFINITIONS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otherwise defined in the Agreement, capitalized terms used but not defined herein shall have the meanings ascribed to them in the SPA. In addition, the following terms shall have the meanings set forth below:</w:t>
      </w:r>
    </w:p>
    <w:p>
      <w:pPr>
        <w:pStyle w:val="TextBody"/>
        <w:bidi w:val="0"/>
        <w:spacing w:before="0" w:after="0"/>
        <w:ind w:left="72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i w:val="false"/>
                <w:caps w:val="false"/>
                <w:smallCaps w:val="false"/>
                <w:sz w:val="20"/>
              </w:rPr>
              <w:t>Daily Volume Cap”</w:t>
            </w:r>
            <w:r>
              <w:rPr>
                <w:rFonts w:ascii="Times New Roman;Times;Serif" w:hAnsi="Times New Roman;Times;Serif"/>
                <w:b w:val="false"/>
                <w:i w:val="false"/>
                <w:caps w:val="false"/>
                <w:smallCaps w:val="false"/>
                <w:sz w:val="20"/>
              </w:rPr>
              <w:t xml:space="preserve"> means 15% of the average daily trading volume of Purchaser Common Stock on its principal trading market over the ten (10) trading day period ending on the date immediately prior to the date on which the Daily Volume Cap applies.</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i w:val="false"/>
                <w:caps w:val="false"/>
                <w:smallCaps w:val="false"/>
                <w:sz w:val="20"/>
              </w:rPr>
              <w:t>EIB”</w:t>
            </w:r>
            <w:r>
              <w:rPr>
                <w:rFonts w:ascii="Times New Roman;Times;Serif" w:hAnsi="Times New Roman;Times;Serif"/>
                <w:b w:val="false"/>
                <w:i w:val="false"/>
                <w:caps w:val="false"/>
                <w:smallCaps w:val="false"/>
                <w:sz w:val="20"/>
              </w:rPr>
              <w:t xml:space="preserve"> means the European Investment Bank, having its seat at 100 blvd Konrad Adenauer, Luxembourg, L-2950 Luxembourg, and/or any of its Affiliates, and/or any trust, fiduciary or other similar structure appointed by the European Investment Bank, at its sole discretion, to hold Purchaser Common Stock or Purchaser Warrants on its behalf and to handle any associated market notifications, as applicable.</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i w:val="false"/>
                <w:caps w:val="false"/>
                <w:smallCaps w:val="false"/>
                <w:sz w:val="20"/>
              </w:rPr>
              <w:t>EIB Priority Shares”</w:t>
            </w:r>
            <w:r>
              <w:rPr>
                <w:rFonts w:ascii="Times New Roman;Times;Serif" w:hAnsi="Times New Roman;Times;Serif"/>
                <w:b w:val="false"/>
                <w:i w:val="false"/>
                <w:caps w:val="false"/>
                <w:smallCaps w:val="false"/>
                <w:sz w:val="20"/>
              </w:rPr>
              <w:t xml:space="preserve"> means the shares of Purchaser Common Stock issued or issuable to EIB (including upon exercise of any Purchaser Warrants) pursuant to the SPA and each Pre-Funded Warrant to Purchase Common Stock issued by Purchaser to EIB from time to time as provided in the SPA.</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i w:val="false"/>
                <w:caps w:val="false"/>
                <w:smallCaps w:val="false"/>
                <w:sz w:val="20"/>
              </w:rPr>
              <w:t>Priority Period”</w:t>
            </w:r>
            <w:r>
              <w:rPr>
                <w:rFonts w:ascii="Times New Roman;Times;Serif" w:hAnsi="Times New Roman;Times;Serif"/>
                <w:b w:val="false"/>
                <w:i w:val="false"/>
                <w:caps w:val="false"/>
                <w:smallCaps w:val="false"/>
                <w:sz w:val="20"/>
              </w:rPr>
              <w:t xml:space="preserve"> means the period commencing on the Closing Date and ending on the earlier of (i) the date on which EIB notifies that it has sold all its EIB Priority Shares and (ii) six (6) months as from the Closing Date.</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i w:val="false"/>
                <w:caps w:val="false"/>
                <w:smallCaps w:val="false"/>
                <w:sz w:val="20"/>
              </w:rPr>
              <w:t>Restricted Period”</w:t>
            </w:r>
            <w:r>
              <w:rPr>
                <w:rFonts w:ascii="Times New Roman;Times;Serif" w:hAnsi="Times New Roman;Times;Serif"/>
                <w:b w:val="false"/>
                <w:i w:val="false"/>
                <w:caps w:val="false"/>
                <w:smallCaps w:val="false"/>
                <w:sz w:val="20"/>
              </w:rPr>
              <w:t xml:space="preserve"> means the period commencing on the Closing Date and ending on the date that all Registrable Securities have been sold or may be freely sold pursuant to Rule 144 without restriction.</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II — PRIORITY RESALE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Priority Period, EIB shall benefit from a priority right to effect sales of its shares of Purchaser Common Stock in priority to any other Seller, subject to the Daily Volume Cap. For the avoidance of doubt, EIB’s exercise of its priority resale right hereunder remains subject to all applicable US federal securities 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ARTICLE III — </w:t>
      </w:r>
      <w:r>
        <w:rPr>
          <w:rFonts w:ascii="Times New Roman;Times;Serif" w:hAnsi="Times New Roman;Times;Serif"/>
          <w:b/>
          <w:i w:val="false"/>
          <w:caps/>
          <w:sz w:val="20"/>
        </w:rPr>
        <w:t>VOLUME LIMITATIONS and Coordination of Sales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3.1. Daily Volume Cap.</w:t>
      </w:r>
      <w:r>
        <w:rPr>
          <w:rFonts w:ascii="Times New Roman;Times;Serif" w:hAnsi="Times New Roman;Times;Serif"/>
          <w:b w:val="false"/>
          <w:i w:val="false"/>
          <w:caps w:val="false"/>
          <w:smallCaps w:val="false"/>
          <w:sz w:val="20"/>
        </w:rPr>
        <w:t xml:space="preserve"> During the Restricted Period, the Sellers, collectively, shall not sell in open-market transactions more than the Daily Volume Cap in any single trading day. Each Seller’s individual allocation of the Daily Volume Cap shall be determined as follows: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0"/>
        <w:gridCol w:w="9967"/>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6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Priority Period, the Daily Volume Cap shall be allocated in priority to the EIB, with any remaining capacity (if any) allocated pro rata among the other Sellers based on their respective holdings of Registrable Securities; and</w:t>
            </w:r>
          </w:p>
        </w:tc>
      </w:tr>
    </w:tbl>
    <w:p>
      <w:pPr>
        <w:pStyle w:val="TextBody"/>
        <w:bidi w:val="0"/>
        <w:spacing w:before="0" w:after="0"/>
        <w:ind w:left="855"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1"/>
        <w:gridCol w:w="9956"/>
      </w:tblGrid>
      <w:tr>
        <w:trPr/>
        <w:tc>
          <w:tcPr>
            <w:tcW w:w="3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5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Priority Period, the Daily Volume Cap shall be allocated pro rata among all Sellers, unless otherwise agreed among the Sellers, based on their respective holdings of Registrable Securities as of the first trading day following the end of the Priority Period.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3.2. No Price-Based Restrictions.</w:t>
      </w:r>
      <w:r>
        <w:rPr>
          <w:rFonts w:ascii="Times New Roman;Times;Serif" w:hAnsi="Times New Roman;Times;Serif"/>
          <w:b w:val="false"/>
          <w:i w:val="false"/>
          <w:caps w:val="false"/>
          <w:smallCaps w:val="false"/>
          <w:sz w:val="20"/>
        </w:rPr>
        <w:t xml:space="preserve"> For the avoidance of doubt, no Seller shall be subject to any restriction on the price at which it may sell its shares of Purchaser Common Stock, and no minimum sale price shall apply.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3.3. Coordination of Sales.</w:t>
      </w:r>
      <w:r>
        <w:rPr>
          <w:rFonts w:ascii="Times New Roman;Times;Serif" w:hAnsi="Times New Roman;Times;Serif"/>
          <w:b w:val="false"/>
          <w:i w:val="false"/>
          <w:caps w:val="false"/>
          <w:smallCaps w:val="false"/>
          <w:sz w:val="20"/>
        </w:rPr>
        <w:t xml:space="preserve"> During the Restricted Period, following the end of the Priority Period, all Sellers shall use commercially reasonable efforts to coordinate their sales through a single agreed broker or agreed trading windows (if mutually agreed, but not mandatory) to ensure (i) orderly execution and minimize market disruption and (ii) compliance with the limitations described herein. The parties shall cooperate with each other and Purchaser’s transfer agent in effectuating reasonable procedures and safeguard (including, if appropriate legends or stop transfer instructions) to implement the terms of this Agreement. For the avoidance of doubt, the provisions of this Section 3.3 shall not prevent any of the Sellers from entering into an arrangement with a broker of its choice.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IV —</w:t>
      </w:r>
      <w:r>
        <w:rPr>
          <w:rFonts w:ascii="Times New Roman;Times;Serif" w:hAnsi="Times New Roman;Times;Serif"/>
          <w:b/>
          <w:i w:val="false"/>
          <w:caps/>
          <w:sz w:val="20"/>
        </w:rPr>
        <w:t>Block Trades and Privately Negotiated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Nothing in this Agreement, including the Daily Volume Cap and the priority right, shall restrict any Seller from effecting privately negotiated transfers or block trades of Registrable Securities; provided that (i) any such transfer complies with or is exempt from applicable securities laws, including the Securities Act and any applicable state and international securities laws, (ii) any transferee who is not named as a selling stockholder in the Registration Statement shall either (A) if requested by such transferee, be added to the Registration Statement pursuant to a prospectus supplement or post-effective amendment filed by Purchaser in accordance with </w:t>
      </w:r>
      <w:r>
        <w:rPr>
          <w:rFonts w:ascii="Times New Roman;Times;Serif" w:hAnsi="Times New Roman;Times;Serif"/>
          <w:b w:val="false"/>
          <w:i w:val="false"/>
          <w:caps w:val="false"/>
          <w:smallCaps w:val="false"/>
          <w:sz w:val="20"/>
          <w:u w:val="single"/>
        </w:rPr>
        <w:t>Section 6.10(b) of the SPA</w:t>
      </w:r>
      <w:r>
        <w:rPr>
          <w:rFonts w:ascii="Times New Roman;Times;Serif" w:hAnsi="Times New Roman;Times;Serif"/>
          <w:b w:val="false"/>
          <w:i w:val="false"/>
          <w:caps w:val="false"/>
          <w:smallCaps w:val="false"/>
          <w:sz w:val="20"/>
        </w:rPr>
        <w:t xml:space="preserve">, subject to such transferee providing the questionnaire and other materials reasonably requested by Purchaser pursuant to </w:t>
      </w:r>
      <w:r>
        <w:rPr>
          <w:rFonts w:ascii="Times New Roman;Times;Serif" w:hAnsi="Times New Roman;Times;Serif"/>
          <w:b w:val="false"/>
          <w:i w:val="false"/>
          <w:caps w:val="false"/>
          <w:smallCaps w:val="false"/>
          <w:sz w:val="20"/>
          <w:u w:val="single"/>
        </w:rPr>
        <w:t>Section 6.10(b)</w:t>
      </w:r>
      <w:r>
        <w:rPr>
          <w:rFonts w:ascii="Times New Roman;Times;Serif" w:hAnsi="Times New Roman;Times;Serif"/>
          <w:b w:val="false"/>
          <w:i w:val="false"/>
          <w:caps w:val="false"/>
          <w:smallCaps w:val="false"/>
          <w:sz w:val="20"/>
        </w:rPr>
        <w:t xml:space="preserve"> of the SPA and provided that, if such transferee is not eligible to be added by a prospectus supplement and must be added by post-effective amendment, Purchaser may delay such post-effective amendment until the time of Purchaser’s next periodic report filing date under the Exchange Act, and shall not be required to post-effectively amend the Registration Statement more frequently than once per quarter, or (B) rely on an available exemption from the registration requirements of the Securities Act, including Rule 144, and (iii) any such transferee shall agree in writing to be bound by the terms of the Resale Organization Agreement and </w:t>
      </w:r>
      <w:r>
        <w:rPr>
          <w:rFonts w:ascii="Times New Roman;Times;Serif" w:hAnsi="Times New Roman;Times;Serif"/>
          <w:b w:val="false"/>
          <w:i w:val="false"/>
          <w:caps w:val="false"/>
          <w:smallCaps w:val="false"/>
          <w:sz w:val="20"/>
          <w:u w:val="single"/>
        </w:rPr>
        <w:t>Section 6.10 of the SPA</w:t>
      </w:r>
      <w:r>
        <w:rPr>
          <w:rFonts w:ascii="Times New Roman;Times;Serif" w:hAnsi="Times New Roman;Times;Serif"/>
          <w:b w:val="false"/>
          <w:i w:val="false"/>
          <w:caps w:val="false"/>
          <w:smallCaps w:val="false"/>
          <w:sz w:val="20"/>
        </w:rPr>
        <w:t>, as applicable.</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Notwithstanding anything to the contrary in this Agreement, EIB shall be free to sell, dispose of or otherwise transfer any of the Purchaser Warrants it holds without any limitation or restriction, including restriction on the price at which it may sell its Purchaser Warrants, and no minimum sale price shall apply in accordance with the terms of the Purchaser Warrants, provided any such sale, disposition or transfer complies with or is exempt from applicable securities laws, including the Securities Act and any applicable state and international securities laws and provided further that any such transferee of Purchaser Warrants shall agree in writing that any shares of Purchaser Common Stock issuable on exercise of such Purchaser Warrants shall be bound by the terms of the Resale Organization Agreement and </w:t>
      </w:r>
      <w:r>
        <w:rPr>
          <w:rFonts w:ascii="Times New Roman;Times;Serif" w:hAnsi="Times New Roman;Times;Serif"/>
          <w:b w:val="false"/>
          <w:i w:val="false"/>
          <w:caps w:val="false"/>
          <w:smallCaps w:val="false"/>
          <w:sz w:val="20"/>
          <w:u w:val="single"/>
        </w:rPr>
        <w:t>Section 6.10 of the SPA</w:t>
      </w:r>
      <w:r>
        <w:rPr>
          <w:rFonts w:ascii="Times New Roman;Times;Serif" w:hAnsi="Times New Roman;Times;Serif"/>
          <w:b w:val="false"/>
          <w:i w:val="false"/>
          <w:caps w:val="false"/>
          <w:smallCaps w:val="false"/>
          <w:sz w:val="20"/>
        </w:rPr>
        <w:t>,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V — MOST FAVORED 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at any time during the Restricted Period, the Purchaser enters into any agreement, arrangement, or understanding with any holder of Purchaser Common Stock (other than the Sellers) that provides such holder with daily trading volume allowances or other volume-related resale terms that are more favorable than those set forth in this Agreement, the Purchaser shall promptly notify the Sellers in writing of such terms, and in any event no later than five (5) days thereafter, and the Sellers shall automatically be entitled to the benefit of such more favorable terms, which shall be deemed to amend and supplement the corresponding provisions of this Agreement (notwithstanding Section 7.2 of this Agreement), effective as of the date such more favorable terms are granted to such other holder. In the event that the Purchaser fails to provide such written notice within five (5) Business Days of granting such more favorable terms to such other holder, the Sellers shall be deemed to have received such notice as of the date such more favorable terms were granted, and shall be entitled to the benefit thereof from such date. For the avoidance of doubt, the foregoing shall apply to any increase in the Daily Volume Cap or any relaxation of the volume limitations set forth herein, whether granted on an individual or aggregate basis.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VI — TENDER OFFERS AND CHANGE OF CONTROL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anything to the contrary in this Agreement, in the event that a bona fide tender offer, exchange offer, or similar takeover bid is commenced by any person (other than a Seller or any of its Affiliates) for all or substantially all of the outstanding shares of Purchaser Common Stock, each Seller shall be entitled to tender, exchange, or otherwise offer for sale all of its shares of Purchaser Common Stock (including all Registrable Securities) in connection with such offer or bid, without regards to any volume limitations, Daily Volume Cap restrictions, priority rights, or other resale restrictions set forth in this Agreement. For purposes of this Article VI, a tender offer, exchange offer, or similar takeover bid shall be deemed to have “commenced” as of the date of its public announcement. The restrictions set forth in this Agreement shall be automatically suspended with respect to any such tender, exchange, or offer for the duration of the applicable offer period and shall be reinstated upon the expiration, termination, or withdrawal of such offer or bid, provided that such reinstatement shall not take effect until the third (3rd) Business Day following such expiration, termination, or withdrawal (the “</w:t>
      </w:r>
      <w:r>
        <w:rPr>
          <w:rFonts w:ascii="Times New Roman;Times;Serif" w:hAnsi="Times New Roman;Times;Serif"/>
          <w:b/>
          <w:i w:val="false"/>
          <w:caps w:val="false"/>
          <w:smallCaps w:val="false"/>
          <w:sz w:val="20"/>
        </w:rPr>
        <w:t>Reinstatement Date</w:t>
      </w:r>
      <w:r>
        <w:rPr>
          <w:rFonts w:ascii="Times New Roman;Times;Serif" w:hAnsi="Times New Roman;Times;Serif"/>
          <w:b w:val="false"/>
          <w:i w:val="false"/>
          <w:caps w:val="false"/>
          <w:smallCaps w:val="false"/>
          <w:sz w:val="20"/>
        </w:rPr>
        <w:t>”), during which period Sellers shall remain free to complete any tendering or transfer of shares initiated prior to such expiration, termination, or withdrawal, to the extent any Registrable Securities remain held by the Sellers.</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VII — GENERAL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7.1. Term.</w:t>
      </w:r>
      <w:r>
        <w:rPr>
          <w:rFonts w:ascii="Times New Roman;Times;Serif" w:hAnsi="Times New Roman;Times;Serif"/>
          <w:b w:val="false"/>
          <w:i w:val="false"/>
          <w:caps w:val="false"/>
          <w:smallCaps w:val="false"/>
          <w:sz w:val="20"/>
        </w:rPr>
        <w:t xml:space="preserve"> This Agreement shall remain in effect until the end of the Restricted Period, unless earlier terminated by written agreement of Purchaser and the Sellers.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7.2. Amendment.</w:t>
      </w:r>
      <w:r>
        <w:rPr>
          <w:rFonts w:ascii="Times New Roman;Times;Serif" w:hAnsi="Times New Roman;Times;Serif"/>
          <w:b w:val="false"/>
          <w:i w:val="false"/>
          <w:caps w:val="false"/>
          <w:smallCaps w:val="false"/>
          <w:sz w:val="20"/>
        </w:rPr>
        <w:t xml:space="preserve"> This Agreement may not be amended, modified, or supplemented except by a written instrument signed by Purchaser and the Sellers.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7.3. Incorporation by Reference.</w:t>
      </w:r>
      <w:r>
        <w:rPr>
          <w:rFonts w:ascii="Times New Roman;Times;Serif" w:hAnsi="Times New Roman;Times;Serif"/>
          <w:b w:val="false"/>
          <w:i w:val="false"/>
          <w:caps w:val="false"/>
          <w:smallCaps w:val="false"/>
          <w:sz w:val="20"/>
        </w:rPr>
        <w:t xml:space="preserve"> Sections 10.5 (</w:t>
      </w:r>
      <w:r>
        <w:rPr>
          <w:rFonts w:ascii="Times New Roman;Times;Serif" w:hAnsi="Times New Roman;Times;Serif"/>
          <w:b w:val="false"/>
          <w:i/>
          <w:caps w:val="false"/>
          <w:smallCaps w:val="false"/>
          <w:sz w:val="20"/>
        </w:rPr>
        <w:t>Notice</w:t>
      </w:r>
      <w:r>
        <w:rPr>
          <w:rFonts w:ascii="Times New Roman;Times;Serif" w:hAnsi="Times New Roman;Times;Serif"/>
          <w:b w:val="false"/>
          <w:i w:val="false"/>
          <w:caps w:val="false"/>
          <w:smallCaps w:val="false"/>
          <w:sz w:val="20"/>
        </w:rPr>
        <w:t>), 10.6 (</w:t>
      </w:r>
      <w:r>
        <w:rPr>
          <w:rFonts w:ascii="Times New Roman;Times;Serif" w:hAnsi="Times New Roman;Times;Serif"/>
          <w:b w:val="false"/>
          <w:i/>
          <w:caps w:val="false"/>
          <w:smallCaps w:val="false"/>
          <w:sz w:val="20"/>
        </w:rPr>
        <w:t>Counterparts</w:t>
      </w:r>
      <w:r>
        <w:rPr>
          <w:rFonts w:ascii="Times New Roman;Times;Serif" w:hAnsi="Times New Roman;Times;Serif"/>
          <w:b w:val="false"/>
          <w:i w:val="false"/>
          <w:caps w:val="false"/>
          <w:smallCaps w:val="false"/>
          <w:sz w:val="20"/>
        </w:rPr>
        <w:t>), 10.7 (</w:t>
      </w:r>
      <w:r>
        <w:rPr>
          <w:rFonts w:ascii="Times New Roman;Times;Serif" w:hAnsi="Times New Roman;Times;Serif"/>
          <w:b w:val="false"/>
          <w:i/>
          <w:caps w:val="false"/>
          <w:smallCaps w:val="false"/>
          <w:sz w:val="20"/>
        </w:rPr>
        <w:t>Entire Agreement; No Third Party Beneficiaries</w:t>
      </w:r>
      <w:r>
        <w:rPr>
          <w:rFonts w:ascii="Times New Roman;Times;Serif" w:hAnsi="Times New Roman;Times;Serif"/>
          <w:b w:val="false"/>
          <w:i w:val="false"/>
          <w:caps w:val="false"/>
          <w:smallCaps w:val="false"/>
          <w:sz w:val="20"/>
        </w:rPr>
        <w:t>), 10.8 (</w:t>
      </w:r>
      <w:r>
        <w:rPr>
          <w:rFonts w:ascii="Times New Roman;Times;Serif" w:hAnsi="Times New Roman;Times;Serif"/>
          <w:b w:val="false"/>
          <w:i/>
          <w:caps w:val="false"/>
          <w:smallCaps w:val="false"/>
          <w:sz w:val="20"/>
        </w:rPr>
        <w:t>Severability</w:t>
      </w:r>
      <w:r>
        <w:rPr>
          <w:rFonts w:ascii="Times New Roman;Times;Serif" w:hAnsi="Times New Roman;Times;Serif"/>
          <w:b w:val="false"/>
          <w:i w:val="false"/>
          <w:caps w:val="false"/>
          <w:smallCaps w:val="false"/>
          <w:sz w:val="20"/>
        </w:rPr>
        <w:t>), 10.9 (</w:t>
      </w:r>
      <w:r>
        <w:rPr>
          <w:rFonts w:ascii="Times New Roman;Times;Serif" w:hAnsi="Times New Roman;Times;Serif"/>
          <w:b w:val="false"/>
          <w:i/>
          <w:caps w:val="false"/>
          <w:smallCaps w:val="false"/>
          <w:sz w:val="20"/>
        </w:rPr>
        <w:t>Governing Law</w:t>
      </w:r>
      <w:r>
        <w:rPr>
          <w:rFonts w:ascii="Times New Roman;Times;Serif" w:hAnsi="Times New Roman;Times;Serif"/>
          <w:b w:val="false"/>
          <w:i w:val="false"/>
          <w:caps w:val="false"/>
          <w:smallCaps w:val="false"/>
          <w:sz w:val="20"/>
        </w:rPr>
        <w:t>), 10.10 (</w:t>
      </w:r>
      <w:r>
        <w:rPr>
          <w:rFonts w:ascii="Times New Roman;Times;Serif" w:hAnsi="Times New Roman;Times;Serif"/>
          <w:b w:val="false"/>
          <w:i/>
          <w:caps w:val="false"/>
          <w:smallCaps w:val="false"/>
          <w:sz w:val="20"/>
        </w:rPr>
        <w:t>Venue and Jurisdiction</w:t>
      </w:r>
      <w:r>
        <w:rPr>
          <w:rFonts w:ascii="Times New Roman;Times;Serif" w:hAnsi="Times New Roman;Times;Serif"/>
          <w:b w:val="false"/>
          <w:i w:val="false"/>
          <w:caps w:val="false"/>
          <w:smallCaps w:val="false"/>
          <w:sz w:val="20"/>
        </w:rPr>
        <w:t>), 10.11 (</w:t>
      </w:r>
      <w:r>
        <w:rPr>
          <w:rFonts w:ascii="Times New Roman;Times;Serif" w:hAnsi="Times New Roman;Times;Serif"/>
          <w:b w:val="false"/>
          <w:i/>
          <w:caps w:val="false"/>
          <w:smallCaps w:val="false"/>
          <w:sz w:val="20"/>
        </w:rPr>
        <w:t>Enforcement</w:t>
      </w:r>
      <w:r>
        <w:rPr>
          <w:rFonts w:ascii="Times New Roman;Times;Serif" w:hAnsi="Times New Roman;Times;Serif"/>
          <w:b w:val="false"/>
          <w:i w:val="false"/>
          <w:caps w:val="false"/>
          <w:smallCaps w:val="false"/>
          <w:sz w:val="20"/>
        </w:rPr>
        <w:t>), 10.13 (</w:t>
      </w:r>
      <w:r>
        <w:rPr>
          <w:rFonts w:ascii="Times New Roman;Times;Serif" w:hAnsi="Times New Roman;Times;Serif"/>
          <w:b w:val="false"/>
          <w:i/>
          <w:caps w:val="false"/>
          <w:smallCaps w:val="false"/>
          <w:sz w:val="20"/>
        </w:rPr>
        <w:t>Headings</w:t>
      </w:r>
      <w:r>
        <w:rPr>
          <w:rFonts w:ascii="Times New Roman;Times;Serif" w:hAnsi="Times New Roman;Times;Serif"/>
          <w:b w:val="false"/>
          <w:i w:val="false"/>
          <w:caps w:val="false"/>
          <w:smallCaps w:val="false"/>
          <w:sz w:val="20"/>
        </w:rPr>
        <w:t>), and 10.14 (</w:t>
      </w:r>
      <w:r>
        <w:rPr>
          <w:rFonts w:ascii="Times New Roman;Times;Serif" w:hAnsi="Times New Roman;Times;Serif"/>
          <w:b w:val="false"/>
          <w:i/>
          <w:caps w:val="false"/>
          <w:smallCaps w:val="false"/>
          <w:sz w:val="20"/>
        </w:rPr>
        <w:t>Days</w:t>
      </w:r>
      <w:r>
        <w:rPr>
          <w:rFonts w:ascii="Times New Roman;Times;Serif" w:hAnsi="Times New Roman;Times;Serif"/>
          <w:b w:val="false"/>
          <w:i w:val="false"/>
          <w:caps w:val="false"/>
          <w:smallCaps w:val="false"/>
          <w:sz w:val="20"/>
        </w:rPr>
        <w:t xml:space="preserve">) of the SPA shall apply to this Agreement </w:t>
      </w:r>
      <w:r>
        <w:rPr>
          <w:rFonts w:ascii="Times New Roman;Times;Serif" w:hAnsi="Times New Roman;Times;Serif"/>
          <w:b w:val="false"/>
          <w:i/>
          <w:caps w:val="false"/>
          <w:smallCaps w:val="false"/>
          <w:sz w:val="20"/>
        </w:rPr>
        <w:t>mutatis mutandis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 pages follow]</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9785" w:type="dxa"/>
        <w:jc w:val="left"/>
        <w:tblInd w:w="0" w:type="dxa"/>
        <w:tblLayout w:type="fixed"/>
        <w:tblCellMar>
          <w:top w:w="0" w:type="dxa"/>
          <w:left w:w="0" w:type="dxa"/>
          <w:bottom w:w="28" w:type="dxa"/>
          <w:right w:w="0" w:type="dxa"/>
        </w:tblCellMar>
      </w:tblPr>
      <w:tblGrid>
        <w:gridCol w:w="9710"/>
        <w:gridCol w:w="75"/>
      </w:tblGrid>
      <w:tr>
        <w:trPr/>
        <w:tc>
          <w:tcPr>
            <w:tcW w:w="9710" w:type="dxa"/>
            <w:tcBorders>
              <w:bottom w:val="single" w:sz="8" w:space="0" w:color="000000"/>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Philippe Bencteux</w:t>
            </w:r>
          </w:p>
        </w:tc>
        <w:tc>
          <w:tcPr>
            <w:tcW w:w="75" w:type="dxa"/>
            <w:tcBorders/>
            <w:tcMar>
              <w:bottom w:w="0" w:type="dxa"/>
            </w:tcMar>
            <w:vAlign w:val="center"/>
          </w:tcPr>
          <w:p>
            <w:pPr>
              <w:pStyle w:val="TableContents"/>
              <w:bidi w:val="0"/>
              <w:spacing w:before="0" w:after="283"/>
              <w:jc w:val="left"/>
              <w:rPr/>
            </w:pPr>
            <w:r>
              <w:rPr/>
              <w:t> </w:t>
            </w:r>
          </w:p>
        </w:tc>
      </w:tr>
      <w:tr>
        <w:trPr/>
        <w:tc>
          <w:tcPr>
            <w:tcW w:w="971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tcMar>
              <w:bottom w:w="0" w:type="dxa"/>
            </w:tcMar>
            <w:vAlign w:val="center"/>
          </w:tcPr>
          <w:p>
            <w:pPr>
              <w:pStyle w:val="TableContents"/>
              <w:bidi w:val="0"/>
              <w:spacing w:before="0" w:after="283"/>
              <w:jc w:val="left"/>
              <w:rPr/>
            </w:pPr>
            <w:r>
              <w:rPr/>
              <w:t> </w:t>
            </w:r>
          </w:p>
        </w:tc>
      </w:tr>
      <w:tr>
        <w:trPr/>
        <w:tc>
          <w:tcPr>
            <w:tcW w:w="9710" w:type="dxa"/>
            <w:tcBorders/>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PHILIPPE BENCTEUX</w:t>
            </w:r>
          </w:p>
        </w:tc>
        <w:tc>
          <w:tcPr>
            <w:tcW w:w="75" w:type="dxa"/>
            <w:tcBorders/>
            <w:tcMar>
              <w:bottom w:w="0" w:type="dxa"/>
            </w:tcMar>
            <w:vAlign w:val="center"/>
          </w:tcPr>
          <w:p>
            <w:pPr>
              <w:pStyle w:val="TableContents"/>
              <w:bidi w:val="0"/>
              <w:spacing w:before="0" w:after="283"/>
              <w:jc w:val="left"/>
              <w:rPr/>
            </w:pPr>
            <w:r>
              <w:rPr/>
              <w:t> </w:t>
            </w:r>
          </w:p>
        </w:tc>
      </w:tr>
      <w:tr>
        <w:trPr/>
        <w:tc>
          <w:tcPr>
            <w:tcW w:w="971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tcMar>
              <w:bottom w:w="0" w:type="dxa"/>
            </w:tcMar>
            <w:vAlign w:val="center"/>
          </w:tcPr>
          <w:p>
            <w:pPr>
              <w:pStyle w:val="TableContents"/>
              <w:bidi w:val="0"/>
              <w:spacing w:before="0" w:after="283"/>
              <w:jc w:val="left"/>
              <w:rPr/>
            </w:pPr>
            <w:r>
              <w:rPr/>
              <w:t> </w:t>
            </w:r>
          </w:p>
        </w:tc>
      </w:tr>
      <w:tr>
        <w:trPr/>
        <w:tc>
          <w:tcPr>
            <w:tcW w:w="9710" w:type="dxa"/>
            <w:tcBorders/>
            <w:tcMar>
              <w:bottom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Steve Wagner</w:t>
            </w:r>
          </w:p>
          <w:p>
            <w:pPr>
              <w:pStyle w:val="TableContents"/>
              <w:bidi w:val="0"/>
              <w:spacing w:before="0" w:after="0"/>
              <w:ind w:left="0" w:right="0" w:hanging="0"/>
              <w:jc w:val="left"/>
              <w:rPr>
                <w:rFonts w:ascii="Times New Roman;Times;Serif" w:hAnsi="Times New Roman;Times;Serif" w:eastAsia="Times New Roman;Times;Serif" w:cs="Times New Roman;Times;Serif"/>
                <w:b/>
                <w:b w:val="false"/>
                <w:bCs w:val="false"/>
                <w:i w:val="false"/>
                <w:i w:val="false"/>
                <w:iCs w:val="false"/>
                <w:caps/>
                <w:sz w:val="20"/>
                <w:szCs w:val="20"/>
              </w:rPr>
            </w:pPr>
            <w:r>
              <w:rPr>
                <w:rFonts w:eastAsia="Times New Roman;Times;Serif" w:cs="Times New Roman;Times;Serif" w:ascii="Times New Roman;Times;Serif" w:hAnsi="Times New Roman;Times;Serif"/>
                <w:b/>
                <w:bCs w:val="false"/>
                <w:i w:val="false"/>
                <w:iCs w:val="false"/>
                <w:caps/>
                <w:sz w:val="20"/>
                <w:szCs w:val="20"/>
              </w:rPr>
            </w:r>
          </w:p>
        </w:tc>
        <w:tc>
          <w:tcPr>
            <w:tcW w:w="75" w:type="dxa"/>
            <w:tcBorders/>
            <w:tcMar>
              <w:bottom w:w="0" w:type="dxa"/>
            </w:tcMar>
            <w:vAlign w:val="center"/>
          </w:tcPr>
          <w:p>
            <w:pPr>
              <w:pStyle w:val="TableContents"/>
              <w:bidi w:val="0"/>
              <w:spacing w:before="0" w:after="283"/>
              <w:jc w:val="left"/>
              <w:rPr/>
            </w:pPr>
            <w:r>
              <w:rPr/>
              <w:t> </w:t>
            </w:r>
          </w:p>
        </w:tc>
      </w:tr>
      <w:tr>
        <w:trPr/>
        <w:tc>
          <w:tcPr>
            <w:tcW w:w="9710"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Nona Catalina Cernov-Vivirschi</w:t>
            </w:r>
          </w:p>
        </w:tc>
        <w:tc>
          <w:tcPr>
            <w:tcW w:w="75" w:type="dxa"/>
            <w:tcBorders/>
            <w:tcMar>
              <w:bottom w:w="0" w:type="dxa"/>
            </w:tcMar>
            <w:vAlign w:val="center"/>
          </w:tcPr>
          <w:p>
            <w:pPr>
              <w:pStyle w:val="TableContents"/>
              <w:bidi w:val="0"/>
              <w:spacing w:before="0" w:after="283"/>
              <w:jc w:val="left"/>
              <w:rPr/>
            </w:pPr>
            <w:r>
              <w:rPr/>
              <w:t> </w:t>
            </w:r>
          </w:p>
        </w:tc>
      </w:tr>
      <w:tr>
        <w:trPr/>
        <w:tc>
          <w:tcPr>
            <w:tcW w:w="971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tcMar>
              <w:bottom w:w="0" w:type="dxa"/>
            </w:tcMar>
            <w:vAlign w:val="center"/>
          </w:tcPr>
          <w:p>
            <w:pPr>
              <w:pStyle w:val="TableContents"/>
              <w:bidi w:val="0"/>
              <w:spacing w:before="0" w:after="283"/>
              <w:jc w:val="left"/>
              <w:rPr/>
            </w:pPr>
            <w:r>
              <w:rPr/>
              <w:t> </w:t>
            </w:r>
          </w:p>
        </w:tc>
      </w:tr>
      <w:tr>
        <w:trPr/>
        <w:tc>
          <w:tcPr>
            <w:tcW w:w="9710" w:type="dxa"/>
            <w:tcBorders/>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EUROPEAN INVESTMENT BANK</w:t>
            </w:r>
          </w:p>
        </w:tc>
        <w:tc>
          <w:tcPr>
            <w:tcW w:w="75" w:type="dxa"/>
            <w:tcBorders/>
            <w:tcMar>
              <w:bottom w:w="0" w:type="dxa"/>
            </w:tcMar>
            <w:vAlign w:val="center"/>
          </w:tcPr>
          <w:p>
            <w:pPr>
              <w:pStyle w:val="TableContents"/>
              <w:bidi w:val="0"/>
              <w:spacing w:before="0" w:after="283"/>
              <w:jc w:val="left"/>
              <w:rPr/>
            </w:pPr>
            <w:r>
              <w:rPr/>
              <w:t> </w:t>
            </w:r>
          </w:p>
        </w:tc>
      </w:tr>
      <w:tr>
        <w:trPr/>
        <w:tc>
          <w:tcPr>
            <w:tcW w:w="971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Represented by Mr. Steve Wagner and Mrs. Nona Catalina Cernov-Vivirschi</w:t>
            </w:r>
          </w:p>
        </w:tc>
        <w:tc>
          <w:tcPr>
            <w:tcW w:w="75" w:type="dxa"/>
            <w:tcBorders/>
            <w:tcMar>
              <w:bottom w:w="0" w:type="dxa"/>
            </w:tcMar>
            <w:vAlign w:val="center"/>
          </w:tcPr>
          <w:p>
            <w:pPr>
              <w:pStyle w:val="TableContents"/>
              <w:bidi w:val="0"/>
              <w:spacing w:before="0" w:after="283"/>
              <w:jc w:val="left"/>
              <w:rPr/>
            </w:pPr>
            <w:r>
              <w:rPr/>
              <w:t> </w:t>
            </w:r>
          </w:p>
        </w:tc>
      </w:tr>
      <w:tr>
        <w:trPr/>
        <w:tc>
          <w:tcPr>
            <w:tcW w:w="971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tcMar>
              <w:bottom w:w="0" w:type="dxa"/>
            </w:tcMar>
            <w:vAlign w:val="center"/>
          </w:tcPr>
          <w:p>
            <w:pPr>
              <w:pStyle w:val="TableContents"/>
              <w:bidi w:val="0"/>
              <w:spacing w:before="0" w:after="283"/>
              <w:jc w:val="left"/>
              <w:rPr/>
            </w:pPr>
            <w:r>
              <w:rPr/>
              <w:t> </w:t>
            </w:r>
          </w:p>
        </w:tc>
      </w:tr>
      <w:tr>
        <w:trPr/>
        <w:tc>
          <w:tcPr>
            <w:tcW w:w="9710"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Arthur Duwiquet</w:t>
            </w:r>
          </w:p>
        </w:tc>
        <w:tc>
          <w:tcPr>
            <w:tcW w:w="75" w:type="dxa"/>
            <w:tcBorders/>
            <w:tcMar>
              <w:bottom w:w="0" w:type="dxa"/>
            </w:tcMar>
            <w:vAlign w:val="center"/>
          </w:tcPr>
          <w:p>
            <w:pPr>
              <w:pStyle w:val="TableContents"/>
              <w:bidi w:val="0"/>
              <w:spacing w:before="0" w:after="283"/>
              <w:jc w:val="left"/>
              <w:rPr/>
            </w:pPr>
            <w:r>
              <w:rPr/>
              <w:t> </w:t>
            </w:r>
          </w:p>
        </w:tc>
      </w:tr>
      <w:tr>
        <w:trPr/>
        <w:tc>
          <w:tcPr>
            <w:tcW w:w="971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tcMar>
              <w:bottom w:w="0" w:type="dxa"/>
            </w:tcMar>
            <w:vAlign w:val="center"/>
          </w:tcPr>
          <w:p>
            <w:pPr>
              <w:pStyle w:val="TableContents"/>
              <w:bidi w:val="0"/>
              <w:spacing w:before="0" w:after="283"/>
              <w:jc w:val="left"/>
              <w:rPr/>
            </w:pPr>
            <w:r>
              <w:rPr/>
              <w:t> </w:t>
            </w:r>
          </w:p>
        </w:tc>
      </w:tr>
      <w:tr>
        <w:trPr/>
        <w:tc>
          <w:tcPr>
            <w:tcW w:w="9710" w:type="dxa"/>
            <w:tcBorders/>
            <w:tcMar>
              <w:bottom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NORMANDIE PARTICIPATIONS</w:t>
              <w:br/>
            </w:r>
            <w:r>
              <w:rPr>
                <w:rFonts w:ascii="Times New Roman;Times;Serif" w:hAnsi="Times New Roman;Times;Serif"/>
                <w:b w:val="false"/>
                <w:i w:val="false"/>
                <w:caps w:val="false"/>
                <w:smallCaps w:val="false"/>
                <w:sz w:val="20"/>
              </w:rPr>
              <w:t>Represented by Mr. Arthur Duwiquet</w:t>
            </w:r>
          </w:p>
        </w:tc>
        <w:tc>
          <w:tcPr>
            <w:tcW w:w="75" w:type="dxa"/>
            <w:tcBorders/>
            <w:tcMar>
              <w:bottom w:w="0" w:type="dxa"/>
            </w:tcMar>
            <w:vAlign w:val="center"/>
          </w:tcPr>
          <w:p>
            <w:pPr>
              <w:pStyle w:val="TableContents"/>
              <w:bidi w:val="0"/>
              <w:spacing w:before="0" w:after="283"/>
              <w:jc w:val="left"/>
              <w:rPr/>
            </w:pPr>
            <w:r>
              <w:rPr/>
              <w:t> </w:t>
            </w:r>
          </w:p>
        </w:tc>
      </w:tr>
      <w:tr>
        <w:trPr/>
        <w:tc>
          <w:tcPr>
            <w:tcW w:w="971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tcMar>
              <w:bottom w:w="0" w:type="dxa"/>
            </w:tcMar>
            <w:vAlign w:val="center"/>
          </w:tcPr>
          <w:p>
            <w:pPr>
              <w:pStyle w:val="TableContents"/>
              <w:bidi w:val="0"/>
              <w:spacing w:before="0" w:after="283"/>
              <w:jc w:val="left"/>
              <w:rPr/>
            </w:pPr>
            <w:r>
              <w:rPr/>
              <w:t> </w:t>
            </w:r>
          </w:p>
        </w:tc>
      </w:tr>
      <w:tr>
        <w:trPr/>
        <w:tc>
          <w:tcPr>
            <w:tcW w:w="9710"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Yves Guiol</w:t>
            </w:r>
          </w:p>
        </w:tc>
        <w:tc>
          <w:tcPr>
            <w:tcW w:w="75" w:type="dxa"/>
            <w:tcBorders/>
            <w:tcMar>
              <w:bottom w:w="0" w:type="dxa"/>
            </w:tcMar>
            <w:vAlign w:val="center"/>
          </w:tcPr>
          <w:p>
            <w:pPr>
              <w:pStyle w:val="TableContents"/>
              <w:bidi w:val="0"/>
              <w:spacing w:before="0" w:after="283"/>
              <w:jc w:val="left"/>
              <w:rPr/>
            </w:pPr>
            <w:r>
              <w:rPr/>
              <w:t> </w:t>
            </w:r>
          </w:p>
        </w:tc>
      </w:tr>
      <w:tr>
        <w:trPr/>
        <w:tc>
          <w:tcPr>
            <w:tcW w:w="971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tcMar>
              <w:bottom w:w="0" w:type="dxa"/>
            </w:tcMar>
            <w:vAlign w:val="center"/>
          </w:tcPr>
          <w:p>
            <w:pPr>
              <w:pStyle w:val="TableContents"/>
              <w:bidi w:val="0"/>
              <w:spacing w:before="0" w:after="283"/>
              <w:jc w:val="left"/>
              <w:rPr/>
            </w:pPr>
            <w:r>
              <w:rPr/>
              <w:t> </w:t>
            </w:r>
          </w:p>
        </w:tc>
      </w:tr>
      <w:tr>
        <w:trPr/>
        <w:tc>
          <w:tcPr>
            <w:tcW w:w="9710" w:type="dxa"/>
            <w:tcBorders/>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FCPR CROISSANCE ET PROXIMITE 2</w:t>
            </w:r>
          </w:p>
        </w:tc>
        <w:tc>
          <w:tcPr>
            <w:tcW w:w="75" w:type="dxa"/>
            <w:tcBorders/>
            <w:tcMar>
              <w:bottom w:w="0" w:type="dxa"/>
            </w:tcMar>
            <w:vAlign w:val="center"/>
          </w:tcPr>
          <w:p>
            <w:pPr>
              <w:pStyle w:val="TableContents"/>
              <w:bidi w:val="0"/>
              <w:spacing w:before="0" w:after="283"/>
              <w:jc w:val="left"/>
              <w:rPr/>
            </w:pPr>
            <w:r>
              <w:rPr/>
              <w:t> </w:t>
            </w:r>
          </w:p>
        </w:tc>
      </w:tr>
      <w:tr>
        <w:trPr/>
        <w:tc>
          <w:tcPr>
            <w:tcW w:w="971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Represented by Mr. Yves Guiol</w:t>
            </w:r>
          </w:p>
        </w:tc>
        <w:tc>
          <w:tcPr>
            <w:tcW w:w="75" w:type="dxa"/>
            <w:tcBorders/>
            <w:tcMar>
              <w:bottom w:w="0" w:type="dxa"/>
            </w:tcMar>
            <w:vAlign w:val="center"/>
          </w:tcPr>
          <w:p>
            <w:pPr>
              <w:pStyle w:val="TableContents"/>
              <w:bidi w:val="0"/>
              <w:spacing w:before="0" w:after="283"/>
              <w:jc w:val="left"/>
              <w:rPr/>
            </w:pPr>
            <w:r>
              <w:rPr/>
              <w:t> </w:t>
            </w:r>
          </w:p>
        </w:tc>
      </w:tr>
      <w:tr>
        <w:trPr/>
        <w:tc>
          <w:tcPr>
            <w:tcW w:w="9710" w:type="dxa"/>
            <w:tcBorders/>
            <w:tcMar>
              <w:bottom w:w="0" w:type="dxa"/>
            </w:tcMar>
            <w:vAlign w:val="center"/>
          </w:tcPr>
          <w:p>
            <w:pPr>
              <w:pStyle w:val="TableContents"/>
              <w:bidi w:val="0"/>
              <w:spacing w:before="0" w:after="0"/>
              <w:ind w:left="0" w:right="0" w:hanging="0"/>
              <w:jc w:val="left"/>
              <w:rPr>
                <w:rFonts w:ascii="Times New Roman;Times;Serif" w:hAnsi="Times New Roman;Times;Serif" w:eastAsia="Times New Roman;Times;Serif" w:cs="Times New Roman;Times;Serif"/>
                <w:b/>
                <w:b w:val="false"/>
                <w:bCs w:val="false"/>
                <w:i w:val="false"/>
                <w:i w:val="false"/>
                <w:iCs w:val="false"/>
                <w:caps/>
                <w:sz w:val="20"/>
                <w:szCs w:val="20"/>
              </w:rPr>
            </w:pPr>
            <w:r>
              <w:rPr>
                <w:rFonts w:eastAsia="Times New Roman;Times;Serif" w:cs="Times New Roman;Times;Serif" w:ascii="Times New Roman;Times;Serif" w:hAnsi="Times New Roman;Times;Serif"/>
                <w:b/>
                <w:bCs w:val="false"/>
                <w:i w:val="false"/>
                <w:iCs w:val="false"/>
                <w:caps/>
                <w:sz w:val="20"/>
                <w:szCs w:val="20"/>
              </w:rPr>
            </w:r>
          </w:p>
        </w:tc>
        <w:tc>
          <w:tcPr>
            <w:tcW w:w="75" w:type="dxa"/>
            <w:tcBorders/>
            <w:tcMar>
              <w:bottom w:w="0" w:type="dxa"/>
            </w:tcMar>
            <w:vAlign w:val="center"/>
          </w:tcPr>
          <w:p>
            <w:pPr>
              <w:pStyle w:val="TableContents"/>
              <w:bidi w:val="0"/>
              <w:spacing w:before="0" w:after="283"/>
              <w:jc w:val="left"/>
              <w:rPr/>
            </w:pPr>
            <w:r>
              <w:rPr/>
              <w:t> </w:t>
            </w:r>
          </w:p>
        </w:tc>
      </w:tr>
      <w:tr>
        <w:trPr/>
        <w:tc>
          <w:tcPr>
            <w:tcW w:w="9710" w:type="dxa"/>
            <w:tcBorders>
              <w:bottom w:val="single" w:sz="8" w:space="0" w:color="000000"/>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Yves Guiol</w:t>
            </w:r>
          </w:p>
          <w:p>
            <w:pPr>
              <w:pStyle w:val="TableContents"/>
              <w:bidi w:val="0"/>
              <w:spacing w:before="0" w:after="0"/>
              <w:ind w:left="0" w:right="0" w:hanging="0"/>
              <w:jc w:val="left"/>
              <w:rPr>
                <w:rFonts w:ascii="Times New Roman;Times;Serif" w:hAnsi="Times New Roman;Times;Serif" w:eastAsia="Times New Roman;Times;Serif" w:cs="Times New Roman;Times;Serif"/>
                <w:b/>
                <w:b w:val="false"/>
                <w:bCs w:val="false"/>
                <w:i w:val="false"/>
                <w:i w:val="false"/>
                <w:iCs w:val="false"/>
                <w:caps/>
                <w:sz w:val="20"/>
                <w:szCs w:val="20"/>
              </w:rPr>
            </w:pPr>
            <w:r>
              <w:rPr>
                <w:rFonts w:eastAsia="Times New Roman;Times;Serif" w:cs="Times New Roman;Times;Serif" w:ascii="Times New Roman;Times;Serif" w:hAnsi="Times New Roman;Times;Serif"/>
                <w:b/>
                <w:bCs w:val="false"/>
                <w:i w:val="false"/>
                <w:iCs w:val="false"/>
                <w:caps/>
                <w:sz w:val="20"/>
                <w:szCs w:val="20"/>
              </w:rPr>
            </w:r>
          </w:p>
        </w:tc>
        <w:tc>
          <w:tcPr>
            <w:tcW w:w="75" w:type="dxa"/>
            <w:tcBorders/>
            <w:tcMar>
              <w:bottom w:w="0" w:type="dxa"/>
            </w:tcMar>
            <w:vAlign w:val="center"/>
          </w:tcPr>
          <w:p>
            <w:pPr>
              <w:pStyle w:val="TableContents"/>
              <w:bidi w:val="0"/>
              <w:spacing w:before="0" w:after="283"/>
              <w:jc w:val="left"/>
              <w:rPr/>
            </w:pPr>
            <w:r>
              <w:rPr/>
              <w:t> </w:t>
            </w:r>
          </w:p>
        </w:tc>
      </w:tr>
      <w:tr>
        <w:trPr/>
        <w:tc>
          <w:tcPr>
            <w:tcW w:w="971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tcMar>
              <w:bottom w:w="0" w:type="dxa"/>
            </w:tcMar>
            <w:vAlign w:val="center"/>
          </w:tcPr>
          <w:p>
            <w:pPr>
              <w:pStyle w:val="TableContents"/>
              <w:bidi w:val="0"/>
              <w:spacing w:before="0" w:after="283"/>
              <w:jc w:val="left"/>
              <w:rPr/>
            </w:pPr>
            <w:r>
              <w:rPr/>
              <w:t> </w:t>
            </w:r>
          </w:p>
        </w:tc>
      </w:tr>
      <w:tr>
        <w:trPr/>
        <w:tc>
          <w:tcPr>
            <w:tcW w:w="9710" w:type="dxa"/>
            <w:tcBorders/>
            <w:tcMar>
              <w:bottom w:w="0" w:type="dxa"/>
            </w:tcMar>
            <w:vAlign w:val="center"/>
          </w:tcPr>
          <w:p>
            <w:pPr>
              <w:pStyle w:val="TableContents"/>
              <w:bidi w:val="0"/>
              <w:spacing w:before="0" w:after="283"/>
              <w:jc w:val="left"/>
              <w:rPr>
                <w:rFonts w:ascii="Times New Roman;Times;Serif" w:hAnsi="Times New Roman;Times;Serif"/>
                <w:b/>
                <w:i w:val="false"/>
                <w:caps/>
                <w:sz w:val="20"/>
              </w:rPr>
            </w:pPr>
            <w:r>
              <w:rPr>
                <w:rFonts w:ascii="Times New Roman;Times;Serif" w:hAnsi="Times New Roman;Times;Serif"/>
                <w:b/>
                <w:i w:val="false"/>
                <w:caps/>
                <w:sz w:val="20"/>
              </w:rPr>
              <w:t>waterstart capital</w:t>
            </w:r>
          </w:p>
        </w:tc>
        <w:tc>
          <w:tcPr>
            <w:tcW w:w="75" w:type="dxa"/>
            <w:tcBorders/>
            <w:tcMar>
              <w:bottom w:w="0" w:type="dxa"/>
            </w:tcMar>
            <w:vAlign w:val="center"/>
          </w:tcPr>
          <w:p>
            <w:pPr>
              <w:pStyle w:val="TableContents"/>
              <w:bidi w:val="0"/>
              <w:spacing w:before="0" w:after="283"/>
              <w:jc w:val="left"/>
              <w:rPr/>
            </w:pPr>
            <w:r>
              <w:rPr/>
              <w:t> </w:t>
            </w:r>
          </w:p>
        </w:tc>
      </w:tr>
      <w:tr>
        <w:trPr/>
        <w:tc>
          <w:tcPr>
            <w:tcW w:w="971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Represented by Mr. Yves Guiol</w:t>
            </w:r>
          </w:p>
        </w:tc>
        <w:tc>
          <w:tcPr>
            <w:tcW w:w="75" w:type="dxa"/>
            <w:tcBorders/>
            <w:tcMar>
              <w:bottom w:w="0" w:type="dxa"/>
            </w:tcMar>
            <w:vAlign w:val="center"/>
          </w:tcPr>
          <w:p>
            <w:pPr>
              <w:pStyle w:val="TableContents"/>
              <w:bidi w:val="0"/>
              <w:spacing w:before="0" w:after="283"/>
              <w:jc w:val="left"/>
              <w:rPr/>
            </w:pPr>
            <w:r>
              <w:rPr/>
              <w:t> </w:t>
            </w:r>
          </w:p>
        </w:tc>
      </w:tr>
      <w:tr>
        <w:trPr/>
        <w:tc>
          <w:tcPr>
            <w:tcW w:w="971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tcMar>
              <w:bottom w:w="0" w:type="dxa"/>
            </w:tcMar>
            <w:vAlign w:val="center"/>
          </w:tcPr>
          <w:p>
            <w:pPr>
              <w:pStyle w:val="TableContents"/>
              <w:bidi w:val="0"/>
              <w:spacing w:before="0" w:after="283"/>
              <w:jc w:val="left"/>
              <w:rPr/>
            </w:pPr>
            <w:r>
              <w:rPr/>
              <w:t> </w:t>
            </w:r>
          </w:p>
        </w:tc>
      </w:tr>
      <w:tr>
        <w:trPr/>
        <w:tc>
          <w:tcPr>
            <w:tcW w:w="9710"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Philippe Bencteux</w:t>
            </w:r>
          </w:p>
        </w:tc>
        <w:tc>
          <w:tcPr>
            <w:tcW w:w="75" w:type="dxa"/>
            <w:tcBorders/>
            <w:tcMar>
              <w:bottom w:w="0" w:type="dxa"/>
            </w:tcMar>
            <w:vAlign w:val="center"/>
          </w:tcPr>
          <w:p>
            <w:pPr>
              <w:pStyle w:val="TableContents"/>
              <w:bidi w:val="0"/>
              <w:spacing w:before="0" w:after="283"/>
              <w:jc w:val="left"/>
              <w:rPr/>
            </w:pPr>
            <w:r>
              <w:rPr/>
              <w:t> </w:t>
            </w:r>
          </w:p>
        </w:tc>
      </w:tr>
      <w:tr>
        <w:trPr/>
        <w:tc>
          <w:tcPr>
            <w:tcW w:w="971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tcMar>
              <w:bottom w:w="0" w:type="dxa"/>
            </w:tcMar>
            <w:vAlign w:val="center"/>
          </w:tcPr>
          <w:p>
            <w:pPr>
              <w:pStyle w:val="TableContents"/>
              <w:bidi w:val="0"/>
              <w:spacing w:before="0" w:after="283"/>
              <w:jc w:val="left"/>
              <w:rPr/>
            </w:pPr>
            <w:r>
              <w:rPr/>
              <w:t> </w:t>
            </w:r>
          </w:p>
        </w:tc>
      </w:tr>
      <w:tr>
        <w:trPr/>
        <w:tc>
          <w:tcPr>
            <w:tcW w:w="9710" w:type="dxa"/>
            <w:tcBorders/>
            <w:tcMar>
              <w:bottom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OTHER SELLERS</w:t>
              <w:br/>
            </w:r>
            <w:r>
              <w:rPr>
                <w:rFonts w:ascii="Times New Roman;Times;Serif" w:hAnsi="Times New Roman;Times;Serif"/>
                <w:b w:val="false"/>
                <w:i w:val="false"/>
                <w:caps w:val="false"/>
                <w:smallCaps w:val="false"/>
                <w:sz w:val="20"/>
              </w:rPr>
              <w:t>Represented by Mr. Philippe Bencteux</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(Excluding NORMANDIE PARTICIPATIONS, FCPR CROISSANCE ET PROXIMITE 2 and WATERSTART CAPITAL)</w:t>
            </w:r>
          </w:p>
        </w:tc>
        <w:tc>
          <w:tcPr>
            <w:tcW w:w="75"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A — LIST OF SELLERS</w:t>
      </w:r>
    </w:p>
    <w:p>
      <w:pPr>
        <w:pStyle w:val="TextBody"/>
        <w:bidi w:val="0"/>
        <w:spacing w:before="0" w:after="0"/>
        <w:ind w:left="0" w:right="0" w:hanging="0"/>
        <w:jc w:val="left"/>
        <w:rPr>
          <w:caps w:val="false"/>
          <w:smallCaps w:val="false"/>
        </w:rPr>
      </w:pPr>
      <w:r>
        <w:rPr>
          <w:caps w:val="false"/>
          <w:smallCaps w:val="false"/>
        </w:rPr>
        <w:t> </w:t>
      </w:r>
    </w:p>
    <w:tbl>
      <w:tblPr>
        <w:tblW w:w="4585" w:type="dxa"/>
        <w:jc w:val="left"/>
        <w:tblInd w:w="0" w:type="dxa"/>
        <w:tblLayout w:type="fixed"/>
        <w:tblCellMar>
          <w:top w:w="0" w:type="dxa"/>
          <w:left w:w="0" w:type="dxa"/>
          <w:bottom w:w="0" w:type="dxa"/>
          <w:right w:w="0" w:type="dxa"/>
        </w:tblCellMar>
      </w:tblPr>
      <w:tblGrid>
        <w:gridCol w:w="290"/>
        <w:gridCol w:w="429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42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Philippe Bencteux</w:t>
            </w:r>
          </w:p>
        </w:tc>
      </w:tr>
      <w:tr>
        <w:trPr/>
        <w:tc>
          <w:tcPr>
            <w:tcW w:w="290" w:type="dxa"/>
            <w:tcBorders/>
            <w:vAlign w:val="center"/>
          </w:tcPr>
          <w:p>
            <w:pPr>
              <w:pStyle w:val="TableContents"/>
              <w:bidi w:val="0"/>
              <w:spacing w:before="0" w:after="283"/>
              <w:jc w:val="left"/>
              <w:rPr>
                <w:caps w:val="false"/>
                <w:smallCaps w:val="false"/>
              </w:rPr>
            </w:pPr>
            <w:r>
              <w:rPr>
                <w:caps w:val="false"/>
                <w:smallCaps w:val="false"/>
              </w:rPr>
              <w:t> </w:t>
            </w:r>
          </w:p>
        </w:tc>
        <w:tc>
          <w:tcPr>
            <w:tcW w:w="429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42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EIB</w:t>
            </w:r>
          </w:p>
        </w:tc>
      </w:tr>
      <w:tr>
        <w:trPr/>
        <w:tc>
          <w:tcPr>
            <w:tcW w:w="290" w:type="dxa"/>
            <w:tcBorders/>
            <w:vAlign w:val="center"/>
          </w:tcPr>
          <w:p>
            <w:pPr>
              <w:pStyle w:val="TableContents"/>
              <w:bidi w:val="0"/>
              <w:spacing w:before="0" w:after="283"/>
              <w:jc w:val="left"/>
              <w:rPr>
                <w:caps w:val="false"/>
                <w:smallCaps w:val="false"/>
              </w:rPr>
            </w:pPr>
            <w:r>
              <w:rPr>
                <w:caps w:val="false"/>
                <w:smallCaps w:val="false"/>
              </w:rPr>
              <w:t> </w:t>
            </w:r>
          </w:p>
        </w:tc>
        <w:tc>
          <w:tcPr>
            <w:tcW w:w="429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42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Dominique Destriez</w:t>
            </w:r>
          </w:p>
        </w:tc>
      </w:tr>
      <w:tr>
        <w:trPr/>
        <w:tc>
          <w:tcPr>
            <w:tcW w:w="290" w:type="dxa"/>
            <w:tcBorders/>
            <w:vAlign w:val="center"/>
          </w:tcPr>
          <w:p>
            <w:pPr>
              <w:pStyle w:val="TableContents"/>
              <w:bidi w:val="0"/>
              <w:spacing w:before="0" w:after="283"/>
              <w:jc w:val="left"/>
              <w:rPr>
                <w:caps w:val="false"/>
                <w:smallCaps w:val="false"/>
              </w:rPr>
            </w:pPr>
            <w:r>
              <w:rPr>
                <w:caps w:val="false"/>
                <w:smallCaps w:val="false"/>
              </w:rPr>
              <w:t> </w:t>
            </w:r>
          </w:p>
        </w:tc>
        <w:tc>
          <w:tcPr>
            <w:tcW w:w="429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42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Sébastien Deboeuf</w:t>
            </w:r>
          </w:p>
        </w:tc>
      </w:tr>
      <w:tr>
        <w:trPr/>
        <w:tc>
          <w:tcPr>
            <w:tcW w:w="290" w:type="dxa"/>
            <w:tcBorders/>
            <w:vAlign w:val="center"/>
          </w:tcPr>
          <w:p>
            <w:pPr>
              <w:pStyle w:val="TableContents"/>
              <w:bidi w:val="0"/>
              <w:spacing w:before="0" w:after="283"/>
              <w:jc w:val="left"/>
              <w:rPr>
                <w:caps w:val="false"/>
                <w:smallCaps w:val="false"/>
              </w:rPr>
            </w:pPr>
            <w:r>
              <w:rPr>
                <w:caps w:val="false"/>
                <w:smallCaps w:val="false"/>
              </w:rPr>
              <w:t> </w:t>
            </w:r>
          </w:p>
        </w:tc>
        <w:tc>
          <w:tcPr>
            <w:tcW w:w="429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42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Clémentine Liard</w:t>
            </w:r>
          </w:p>
        </w:tc>
      </w:tr>
      <w:tr>
        <w:trPr/>
        <w:tc>
          <w:tcPr>
            <w:tcW w:w="290" w:type="dxa"/>
            <w:tcBorders/>
            <w:vAlign w:val="center"/>
          </w:tcPr>
          <w:p>
            <w:pPr>
              <w:pStyle w:val="TableContents"/>
              <w:bidi w:val="0"/>
              <w:spacing w:before="0" w:after="283"/>
              <w:jc w:val="left"/>
              <w:rPr>
                <w:caps w:val="false"/>
                <w:smallCaps w:val="false"/>
              </w:rPr>
            </w:pPr>
            <w:r>
              <w:rPr>
                <w:caps w:val="false"/>
                <w:smallCaps w:val="false"/>
              </w:rPr>
              <w:t> </w:t>
            </w:r>
          </w:p>
        </w:tc>
        <w:tc>
          <w:tcPr>
            <w:tcW w:w="429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42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FPCI GO CAPITAL AMORCAGE</w:t>
            </w:r>
          </w:p>
        </w:tc>
      </w:tr>
      <w:tr>
        <w:trPr/>
        <w:tc>
          <w:tcPr>
            <w:tcW w:w="290" w:type="dxa"/>
            <w:tcBorders/>
            <w:vAlign w:val="center"/>
          </w:tcPr>
          <w:p>
            <w:pPr>
              <w:pStyle w:val="TableContents"/>
              <w:bidi w:val="0"/>
              <w:spacing w:before="0" w:after="283"/>
              <w:jc w:val="left"/>
              <w:rPr>
                <w:caps w:val="false"/>
                <w:smallCaps w:val="false"/>
              </w:rPr>
            </w:pPr>
            <w:r>
              <w:rPr>
                <w:caps w:val="false"/>
                <w:smallCaps w:val="false"/>
              </w:rPr>
              <w:t> </w:t>
            </w:r>
          </w:p>
        </w:tc>
        <w:tc>
          <w:tcPr>
            <w:tcW w:w="429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42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FCPR CROISSANCE ET PROXIMITE 2</w:t>
            </w:r>
          </w:p>
        </w:tc>
      </w:tr>
      <w:tr>
        <w:trPr/>
        <w:tc>
          <w:tcPr>
            <w:tcW w:w="290" w:type="dxa"/>
            <w:tcBorders/>
            <w:vAlign w:val="center"/>
          </w:tcPr>
          <w:p>
            <w:pPr>
              <w:pStyle w:val="TableContents"/>
              <w:bidi w:val="0"/>
              <w:spacing w:before="0" w:after="283"/>
              <w:jc w:val="left"/>
              <w:rPr>
                <w:caps w:val="false"/>
                <w:smallCaps w:val="false"/>
              </w:rPr>
            </w:pPr>
            <w:r>
              <w:rPr>
                <w:caps w:val="false"/>
                <w:smallCaps w:val="false"/>
              </w:rPr>
              <w:t> </w:t>
            </w:r>
          </w:p>
        </w:tc>
        <w:tc>
          <w:tcPr>
            <w:tcW w:w="429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c>
          <w:tcPr>
            <w:tcW w:w="42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WATERSTART CAPITAL</w:t>
            </w:r>
          </w:p>
        </w:tc>
      </w:tr>
      <w:tr>
        <w:trPr/>
        <w:tc>
          <w:tcPr>
            <w:tcW w:w="290" w:type="dxa"/>
            <w:tcBorders/>
            <w:vAlign w:val="center"/>
          </w:tcPr>
          <w:p>
            <w:pPr>
              <w:pStyle w:val="TableContents"/>
              <w:bidi w:val="0"/>
              <w:spacing w:before="0" w:after="283"/>
              <w:jc w:val="left"/>
              <w:rPr>
                <w:caps w:val="false"/>
                <w:smallCaps w:val="false"/>
              </w:rPr>
            </w:pPr>
            <w:r>
              <w:rPr>
                <w:caps w:val="false"/>
                <w:smallCaps w:val="false"/>
              </w:rPr>
              <w:t> </w:t>
            </w:r>
          </w:p>
        </w:tc>
        <w:tc>
          <w:tcPr>
            <w:tcW w:w="429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c>
          <w:tcPr>
            <w:tcW w:w="42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Normandie Participations</w:t>
            </w:r>
          </w:p>
        </w:tc>
      </w:tr>
      <w:tr>
        <w:trPr/>
        <w:tc>
          <w:tcPr>
            <w:tcW w:w="290" w:type="dxa"/>
            <w:tcBorders/>
            <w:vAlign w:val="center"/>
          </w:tcPr>
          <w:p>
            <w:pPr>
              <w:pStyle w:val="TableContents"/>
              <w:bidi w:val="0"/>
              <w:spacing w:before="0" w:after="283"/>
              <w:jc w:val="left"/>
              <w:rPr>
                <w:caps w:val="false"/>
                <w:smallCaps w:val="false"/>
              </w:rPr>
            </w:pPr>
            <w:r>
              <w:rPr>
                <w:caps w:val="false"/>
                <w:smallCaps w:val="false"/>
              </w:rPr>
              <w:t> </w:t>
            </w:r>
          </w:p>
        </w:tc>
        <w:tc>
          <w:tcPr>
            <w:tcW w:w="429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c>
          <w:tcPr>
            <w:tcW w:w="42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FCPR W PME Multistratégies</w:t>
            </w:r>
          </w:p>
        </w:tc>
      </w:tr>
      <w:tr>
        <w:trPr/>
        <w:tc>
          <w:tcPr>
            <w:tcW w:w="290" w:type="dxa"/>
            <w:tcBorders/>
            <w:vAlign w:val="center"/>
          </w:tcPr>
          <w:p>
            <w:pPr>
              <w:pStyle w:val="TableContents"/>
              <w:bidi w:val="0"/>
              <w:spacing w:before="0" w:after="283"/>
              <w:jc w:val="left"/>
              <w:rPr>
                <w:caps w:val="false"/>
                <w:smallCaps w:val="false"/>
              </w:rPr>
            </w:pPr>
            <w:r>
              <w:rPr>
                <w:caps w:val="false"/>
                <w:smallCaps w:val="false"/>
              </w:rPr>
              <w:t> </w:t>
            </w:r>
          </w:p>
        </w:tc>
        <w:tc>
          <w:tcPr>
            <w:tcW w:w="429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c>
          <w:tcPr>
            <w:tcW w:w="42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FCPI Santé et Digital</w:t>
            </w:r>
          </w:p>
        </w:tc>
      </w:tr>
      <w:tr>
        <w:trPr/>
        <w:tc>
          <w:tcPr>
            <w:tcW w:w="290" w:type="dxa"/>
            <w:tcBorders/>
            <w:vAlign w:val="center"/>
          </w:tcPr>
          <w:p>
            <w:pPr>
              <w:pStyle w:val="TableContents"/>
              <w:bidi w:val="0"/>
              <w:spacing w:before="0" w:after="283"/>
              <w:jc w:val="left"/>
              <w:rPr>
                <w:caps w:val="false"/>
                <w:smallCaps w:val="false"/>
              </w:rPr>
            </w:pPr>
            <w:r>
              <w:rPr>
                <w:caps w:val="false"/>
                <w:smallCaps w:val="false"/>
              </w:rPr>
              <w:t> </w:t>
            </w:r>
          </w:p>
        </w:tc>
        <w:tc>
          <w:tcPr>
            <w:tcW w:w="429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c>
          <w:tcPr>
            <w:tcW w:w="42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FCPI Santé et Digital II</w:t>
            </w:r>
          </w:p>
        </w:tc>
      </w:tr>
      <w:tr>
        <w:trPr/>
        <w:tc>
          <w:tcPr>
            <w:tcW w:w="290" w:type="dxa"/>
            <w:tcBorders/>
            <w:vAlign w:val="center"/>
          </w:tcPr>
          <w:p>
            <w:pPr>
              <w:pStyle w:val="TableContents"/>
              <w:bidi w:val="0"/>
              <w:spacing w:before="0" w:after="283"/>
              <w:jc w:val="left"/>
              <w:rPr>
                <w:caps w:val="false"/>
                <w:smallCaps w:val="false"/>
              </w:rPr>
            </w:pPr>
            <w:r>
              <w:rPr>
                <w:caps w:val="false"/>
                <w:smallCaps w:val="false"/>
              </w:rPr>
              <w:t> </w:t>
            </w:r>
          </w:p>
        </w:tc>
        <w:tc>
          <w:tcPr>
            <w:tcW w:w="429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c>
          <w:tcPr>
            <w:tcW w:w="42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CAIT (Crédit Agricole Innovations et Territoires)</w:t>
            </w:r>
          </w:p>
        </w:tc>
      </w:tr>
      <w:tr>
        <w:trPr/>
        <w:tc>
          <w:tcPr>
            <w:tcW w:w="290" w:type="dxa"/>
            <w:tcBorders/>
            <w:vAlign w:val="center"/>
          </w:tcPr>
          <w:p>
            <w:pPr>
              <w:pStyle w:val="TableContents"/>
              <w:bidi w:val="0"/>
              <w:spacing w:before="0" w:after="283"/>
              <w:jc w:val="left"/>
              <w:rPr>
                <w:caps w:val="false"/>
                <w:smallCaps w:val="false"/>
              </w:rPr>
            </w:pPr>
            <w:r>
              <w:rPr>
                <w:caps w:val="false"/>
                <w:smallCaps w:val="false"/>
              </w:rPr>
              <w:t> </w:t>
            </w:r>
          </w:p>
        </w:tc>
        <w:tc>
          <w:tcPr>
            <w:tcW w:w="429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c>
          <w:tcPr>
            <w:tcW w:w="42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FCPI AMUNDI AVENIR INNOVATION (Supernova)</w:t>
            </w:r>
          </w:p>
        </w:tc>
      </w:tr>
      <w:tr>
        <w:trPr/>
        <w:tc>
          <w:tcPr>
            <w:tcW w:w="290" w:type="dxa"/>
            <w:tcBorders/>
            <w:vAlign w:val="center"/>
          </w:tcPr>
          <w:p>
            <w:pPr>
              <w:pStyle w:val="TableContents"/>
              <w:bidi w:val="0"/>
              <w:spacing w:before="0" w:after="283"/>
              <w:jc w:val="left"/>
              <w:rPr>
                <w:caps w:val="false"/>
                <w:smallCaps w:val="false"/>
              </w:rPr>
            </w:pPr>
            <w:r>
              <w:rPr>
                <w:caps w:val="false"/>
                <w:smallCaps w:val="false"/>
              </w:rPr>
              <w:t> </w:t>
            </w:r>
          </w:p>
        </w:tc>
        <w:tc>
          <w:tcPr>
            <w:tcW w:w="429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c>
          <w:tcPr>
            <w:tcW w:w="42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Cardio Participations</w:t>
            </w:r>
          </w:p>
        </w:tc>
      </w:tr>
      <w:tr>
        <w:trPr/>
        <w:tc>
          <w:tcPr>
            <w:tcW w:w="290" w:type="dxa"/>
            <w:tcBorders/>
            <w:vAlign w:val="center"/>
          </w:tcPr>
          <w:p>
            <w:pPr>
              <w:pStyle w:val="TableContents"/>
              <w:bidi w:val="0"/>
              <w:spacing w:before="0" w:after="283"/>
              <w:jc w:val="left"/>
              <w:rPr>
                <w:caps w:val="false"/>
                <w:smallCaps w:val="false"/>
              </w:rPr>
            </w:pPr>
            <w:r>
              <w:rPr>
                <w:caps w:val="false"/>
                <w:smallCaps w:val="false"/>
              </w:rPr>
              <w:t> </w:t>
            </w:r>
          </w:p>
        </w:tc>
        <w:tc>
          <w:tcPr>
            <w:tcW w:w="429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w:t>
            </w:r>
          </w:p>
        </w:tc>
        <w:tc>
          <w:tcPr>
            <w:tcW w:w="42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JMJ (Jean Furet)</w:t>
            </w:r>
          </w:p>
        </w:tc>
      </w:tr>
      <w:tr>
        <w:trPr/>
        <w:tc>
          <w:tcPr>
            <w:tcW w:w="290" w:type="dxa"/>
            <w:tcBorders/>
            <w:vAlign w:val="center"/>
          </w:tcPr>
          <w:p>
            <w:pPr>
              <w:pStyle w:val="TableContents"/>
              <w:bidi w:val="0"/>
              <w:spacing w:before="0" w:after="283"/>
              <w:jc w:val="left"/>
              <w:rPr>
                <w:caps w:val="false"/>
                <w:smallCaps w:val="false"/>
              </w:rPr>
            </w:pPr>
            <w:r>
              <w:rPr>
                <w:caps w:val="false"/>
                <w:smallCaps w:val="false"/>
              </w:rPr>
              <w:t> </w:t>
            </w:r>
          </w:p>
        </w:tc>
        <w:tc>
          <w:tcPr>
            <w:tcW w:w="429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c>
          <w:tcPr>
            <w:tcW w:w="42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FactoGeo</w:t>
            </w:r>
          </w:p>
        </w:tc>
      </w:tr>
      <w:tr>
        <w:trPr/>
        <w:tc>
          <w:tcPr>
            <w:tcW w:w="290" w:type="dxa"/>
            <w:tcBorders/>
            <w:vAlign w:val="center"/>
          </w:tcPr>
          <w:p>
            <w:pPr>
              <w:pStyle w:val="TableContents"/>
              <w:bidi w:val="0"/>
              <w:spacing w:before="0" w:after="283"/>
              <w:jc w:val="left"/>
              <w:rPr>
                <w:caps w:val="false"/>
                <w:smallCaps w:val="false"/>
              </w:rPr>
            </w:pPr>
            <w:r>
              <w:rPr>
                <w:caps w:val="false"/>
                <w:smallCaps w:val="false"/>
              </w:rPr>
              <w:t> </w:t>
            </w:r>
          </w:p>
        </w:tc>
        <w:tc>
          <w:tcPr>
            <w:tcW w:w="429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c>
          <w:tcPr>
            <w:tcW w:w="42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Nicolas Buquet</w:t>
            </w:r>
          </w:p>
        </w:tc>
      </w:tr>
      <w:tr>
        <w:trPr/>
        <w:tc>
          <w:tcPr>
            <w:tcW w:w="290" w:type="dxa"/>
            <w:tcBorders/>
            <w:vAlign w:val="center"/>
          </w:tcPr>
          <w:p>
            <w:pPr>
              <w:pStyle w:val="TableContents"/>
              <w:bidi w:val="0"/>
              <w:spacing w:before="0" w:after="283"/>
              <w:jc w:val="left"/>
              <w:rPr>
                <w:caps w:val="false"/>
                <w:smallCaps w:val="false"/>
              </w:rPr>
            </w:pPr>
            <w:r>
              <w:rPr>
                <w:caps w:val="false"/>
                <w:smallCaps w:val="false"/>
              </w:rPr>
              <w:t> </w:t>
            </w:r>
          </w:p>
        </w:tc>
        <w:tc>
          <w:tcPr>
            <w:tcW w:w="429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w:t>
            </w:r>
          </w:p>
        </w:tc>
        <w:tc>
          <w:tcPr>
            <w:tcW w:w="42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LBLI</w:t>
            </w:r>
          </w:p>
        </w:tc>
      </w:tr>
      <w:tr>
        <w:trPr/>
        <w:tc>
          <w:tcPr>
            <w:tcW w:w="290" w:type="dxa"/>
            <w:tcBorders/>
            <w:vAlign w:val="center"/>
          </w:tcPr>
          <w:p>
            <w:pPr>
              <w:pStyle w:val="TableContents"/>
              <w:bidi w:val="0"/>
              <w:spacing w:before="0" w:after="283"/>
              <w:jc w:val="left"/>
              <w:rPr>
                <w:caps w:val="false"/>
                <w:smallCaps w:val="false"/>
              </w:rPr>
            </w:pPr>
            <w:r>
              <w:rPr>
                <w:caps w:val="false"/>
                <w:smallCaps w:val="false"/>
              </w:rPr>
              <w:t> </w:t>
            </w:r>
          </w:p>
        </w:tc>
        <w:tc>
          <w:tcPr>
            <w:tcW w:w="429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w:t>
            </w:r>
          </w:p>
        </w:tc>
        <w:tc>
          <w:tcPr>
            <w:tcW w:w="42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Michel Rault</w:t>
            </w:r>
          </w:p>
        </w:tc>
      </w:tr>
      <w:tr>
        <w:trPr/>
        <w:tc>
          <w:tcPr>
            <w:tcW w:w="290" w:type="dxa"/>
            <w:tcBorders/>
            <w:vAlign w:val="center"/>
          </w:tcPr>
          <w:p>
            <w:pPr>
              <w:pStyle w:val="TableContents"/>
              <w:bidi w:val="0"/>
              <w:spacing w:before="0" w:after="283"/>
              <w:jc w:val="left"/>
              <w:rPr>
                <w:caps w:val="false"/>
                <w:smallCaps w:val="false"/>
              </w:rPr>
            </w:pPr>
            <w:r>
              <w:rPr>
                <w:caps w:val="false"/>
                <w:smallCaps w:val="false"/>
              </w:rPr>
              <w:t> </w:t>
            </w:r>
          </w:p>
        </w:tc>
        <w:tc>
          <w:tcPr>
            <w:tcW w:w="429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c>
          <w:tcPr>
            <w:tcW w:w="42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Gerard Georgeault</w:t>
            </w:r>
          </w:p>
        </w:tc>
      </w:tr>
      <w:tr>
        <w:trPr/>
        <w:tc>
          <w:tcPr>
            <w:tcW w:w="290" w:type="dxa"/>
            <w:tcBorders/>
            <w:vAlign w:val="center"/>
          </w:tcPr>
          <w:p>
            <w:pPr>
              <w:pStyle w:val="TableContents"/>
              <w:bidi w:val="0"/>
              <w:spacing w:before="0" w:after="283"/>
              <w:jc w:val="left"/>
              <w:rPr>
                <w:caps w:val="false"/>
                <w:smallCaps w:val="false"/>
              </w:rPr>
            </w:pPr>
            <w:r>
              <w:rPr>
                <w:caps w:val="false"/>
                <w:smallCaps w:val="false"/>
              </w:rPr>
              <w:t> </w:t>
            </w:r>
          </w:p>
        </w:tc>
        <w:tc>
          <w:tcPr>
            <w:tcW w:w="429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c>
          <w:tcPr>
            <w:tcW w:w="42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 DEVELOPPEMENT</w:t>
            </w:r>
          </w:p>
        </w:tc>
      </w:tr>
      <w:tr>
        <w:trPr/>
        <w:tc>
          <w:tcPr>
            <w:tcW w:w="290" w:type="dxa"/>
            <w:tcBorders/>
            <w:vAlign w:val="center"/>
          </w:tcPr>
          <w:p>
            <w:pPr>
              <w:pStyle w:val="TableContents"/>
              <w:bidi w:val="0"/>
              <w:spacing w:before="0" w:after="283"/>
              <w:jc w:val="left"/>
              <w:rPr>
                <w:caps w:val="false"/>
                <w:smallCaps w:val="false"/>
              </w:rPr>
            </w:pPr>
            <w:r>
              <w:rPr>
                <w:caps w:val="false"/>
                <w:smallCaps w:val="false"/>
              </w:rPr>
              <w:t> </w:t>
            </w:r>
          </w:p>
        </w:tc>
        <w:tc>
          <w:tcPr>
            <w:tcW w:w="429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c>
          <w:tcPr>
            <w:tcW w:w="42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Jacques Lecouillard (décédé : indivision)</w:t>
            </w:r>
          </w:p>
        </w:tc>
      </w:tr>
      <w:tr>
        <w:trPr/>
        <w:tc>
          <w:tcPr>
            <w:tcW w:w="290" w:type="dxa"/>
            <w:tcBorders/>
            <w:vAlign w:val="center"/>
          </w:tcPr>
          <w:p>
            <w:pPr>
              <w:pStyle w:val="TableContents"/>
              <w:bidi w:val="0"/>
              <w:spacing w:before="0" w:after="283"/>
              <w:jc w:val="left"/>
              <w:rPr>
                <w:caps w:val="false"/>
                <w:smallCaps w:val="false"/>
              </w:rPr>
            </w:pPr>
            <w:r>
              <w:rPr>
                <w:caps w:val="false"/>
                <w:smallCaps w:val="false"/>
              </w:rPr>
              <w:t> </w:t>
            </w:r>
          </w:p>
        </w:tc>
        <w:tc>
          <w:tcPr>
            <w:tcW w:w="429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w:t>
            </w:r>
          </w:p>
        </w:tc>
        <w:tc>
          <w:tcPr>
            <w:tcW w:w="42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Dominique Leroy</w:t>
            </w:r>
          </w:p>
        </w:tc>
      </w:tr>
      <w:tr>
        <w:trPr/>
        <w:tc>
          <w:tcPr>
            <w:tcW w:w="290" w:type="dxa"/>
            <w:tcBorders/>
            <w:vAlign w:val="center"/>
          </w:tcPr>
          <w:p>
            <w:pPr>
              <w:pStyle w:val="TableContents"/>
              <w:bidi w:val="0"/>
              <w:spacing w:before="0" w:after="283"/>
              <w:jc w:val="left"/>
              <w:rPr>
                <w:caps w:val="false"/>
                <w:smallCaps w:val="false"/>
              </w:rPr>
            </w:pPr>
            <w:r>
              <w:rPr>
                <w:caps w:val="false"/>
                <w:smallCaps w:val="false"/>
              </w:rPr>
              <w:t> </w:t>
            </w:r>
          </w:p>
        </w:tc>
        <w:tc>
          <w:tcPr>
            <w:tcW w:w="429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w:t>
            </w:r>
          </w:p>
        </w:tc>
        <w:tc>
          <w:tcPr>
            <w:tcW w:w="42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LDLH</w:t>
            </w:r>
          </w:p>
        </w:tc>
      </w:tr>
      <w:tr>
        <w:trPr/>
        <w:tc>
          <w:tcPr>
            <w:tcW w:w="290" w:type="dxa"/>
            <w:tcBorders/>
            <w:vAlign w:val="center"/>
          </w:tcPr>
          <w:p>
            <w:pPr>
              <w:pStyle w:val="TableContents"/>
              <w:bidi w:val="0"/>
              <w:spacing w:before="0" w:after="283"/>
              <w:jc w:val="left"/>
              <w:rPr>
                <w:caps w:val="false"/>
                <w:smallCaps w:val="false"/>
              </w:rPr>
            </w:pPr>
            <w:r>
              <w:rPr>
                <w:caps w:val="false"/>
                <w:smallCaps w:val="false"/>
              </w:rPr>
              <w:t> </w:t>
            </w:r>
          </w:p>
        </w:tc>
        <w:tc>
          <w:tcPr>
            <w:tcW w:w="429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w:t>
            </w:r>
          </w:p>
        </w:tc>
        <w:tc>
          <w:tcPr>
            <w:tcW w:w="42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CADEIS (Gerard Georgeault)</w:t>
            </w:r>
          </w:p>
        </w:tc>
      </w:tr>
      <w:tr>
        <w:trPr/>
        <w:tc>
          <w:tcPr>
            <w:tcW w:w="290" w:type="dxa"/>
            <w:tcBorders/>
            <w:vAlign w:val="center"/>
          </w:tcPr>
          <w:p>
            <w:pPr>
              <w:pStyle w:val="TableContents"/>
              <w:bidi w:val="0"/>
              <w:spacing w:before="0" w:after="283"/>
              <w:jc w:val="left"/>
              <w:rPr>
                <w:caps w:val="false"/>
                <w:smallCaps w:val="false"/>
              </w:rPr>
            </w:pPr>
            <w:r>
              <w:rPr>
                <w:caps w:val="false"/>
                <w:smallCaps w:val="false"/>
              </w:rPr>
              <w:t> </w:t>
            </w:r>
          </w:p>
        </w:tc>
        <w:tc>
          <w:tcPr>
            <w:tcW w:w="429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w:t>
            </w:r>
          </w:p>
        </w:tc>
        <w:tc>
          <w:tcPr>
            <w:tcW w:w="42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Jacques Delfosse</w:t>
            </w:r>
          </w:p>
        </w:tc>
      </w:tr>
      <w:tr>
        <w:trPr/>
        <w:tc>
          <w:tcPr>
            <w:tcW w:w="290" w:type="dxa"/>
            <w:tcBorders/>
            <w:vAlign w:val="center"/>
          </w:tcPr>
          <w:p>
            <w:pPr>
              <w:pStyle w:val="TableContents"/>
              <w:bidi w:val="0"/>
              <w:spacing w:before="0" w:after="283"/>
              <w:jc w:val="left"/>
              <w:rPr>
                <w:caps w:val="false"/>
                <w:smallCaps w:val="false"/>
              </w:rPr>
            </w:pPr>
            <w:r>
              <w:rPr>
                <w:caps w:val="false"/>
                <w:smallCaps w:val="false"/>
              </w:rPr>
              <w:t> </w:t>
            </w:r>
          </w:p>
        </w:tc>
        <w:tc>
          <w:tcPr>
            <w:tcW w:w="429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w:t>
            </w:r>
          </w:p>
        </w:tc>
        <w:tc>
          <w:tcPr>
            <w:tcW w:w="42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Roger Marc Pouget</w:t>
            </w:r>
          </w:p>
        </w:tc>
      </w:tr>
    </w:tbl>
    <w:p>
      <w:pPr>
        <w:pStyle w:val="TextBody"/>
        <w:bidi w:val="0"/>
        <w:spacing w:before="0" w:after="283"/>
        <w:jc w:val="left"/>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4135" w:type="dxa"/>
        <w:jc w:val="left"/>
        <w:tblInd w:w="0" w:type="dxa"/>
        <w:tblLayout w:type="fixed"/>
        <w:tblCellMar>
          <w:top w:w="0" w:type="dxa"/>
          <w:left w:w="0" w:type="dxa"/>
          <w:bottom w:w="0" w:type="dxa"/>
          <w:right w:w="0" w:type="dxa"/>
        </w:tblCellMar>
      </w:tblPr>
      <w:tblGrid>
        <w:gridCol w:w="290"/>
        <w:gridCol w:w="384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w:t>
            </w:r>
          </w:p>
        </w:tc>
        <w:tc>
          <w:tcPr>
            <w:tcW w:w="38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Frédéric Chapron</w:t>
            </w:r>
          </w:p>
        </w:tc>
      </w:tr>
      <w:tr>
        <w:trPr/>
        <w:tc>
          <w:tcPr>
            <w:tcW w:w="290" w:type="dxa"/>
            <w:tcBorders/>
            <w:vAlign w:val="center"/>
          </w:tcPr>
          <w:p>
            <w:pPr>
              <w:pStyle w:val="TableContents"/>
              <w:bidi w:val="0"/>
              <w:spacing w:before="0" w:after="283"/>
              <w:jc w:val="left"/>
              <w:rPr>
                <w:caps w:val="false"/>
                <w:smallCaps w:val="false"/>
              </w:rPr>
            </w:pPr>
            <w:r>
              <w:rPr>
                <w:caps w:val="false"/>
                <w:smallCaps w:val="false"/>
              </w:rPr>
              <w:t> </w:t>
            </w:r>
          </w:p>
        </w:tc>
        <w:tc>
          <w:tcPr>
            <w:tcW w:w="384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w:t>
            </w:r>
          </w:p>
        </w:tc>
        <w:tc>
          <w:tcPr>
            <w:tcW w:w="38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Francis Labrunye</w:t>
            </w:r>
          </w:p>
        </w:tc>
      </w:tr>
      <w:tr>
        <w:trPr/>
        <w:tc>
          <w:tcPr>
            <w:tcW w:w="290" w:type="dxa"/>
            <w:tcBorders/>
            <w:vAlign w:val="center"/>
          </w:tcPr>
          <w:p>
            <w:pPr>
              <w:pStyle w:val="TableContents"/>
              <w:bidi w:val="0"/>
              <w:spacing w:before="0" w:after="283"/>
              <w:jc w:val="left"/>
              <w:rPr>
                <w:caps w:val="false"/>
                <w:smallCaps w:val="false"/>
              </w:rPr>
            </w:pPr>
            <w:r>
              <w:rPr>
                <w:caps w:val="false"/>
                <w:smallCaps w:val="false"/>
              </w:rPr>
              <w:t> </w:t>
            </w:r>
          </w:p>
        </w:tc>
        <w:tc>
          <w:tcPr>
            <w:tcW w:w="384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38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Franck Martin</w:t>
            </w:r>
          </w:p>
        </w:tc>
      </w:tr>
      <w:tr>
        <w:trPr/>
        <w:tc>
          <w:tcPr>
            <w:tcW w:w="290" w:type="dxa"/>
            <w:tcBorders/>
            <w:vAlign w:val="center"/>
          </w:tcPr>
          <w:p>
            <w:pPr>
              <w:pStyle w:val="TableContents"/>
              <w:bidi w:val="0"/>
              <w:spacing w:before="0" w:after="283"/>
              <w:jc w:val="left"/>
              <w:rPr>
                <w:caps w:val="false"/>
                <w:smallCaps w:val="false"/>
              </w:rPr>
            </w:pPr>
            <w:r>
              <w:rPr>
                <w:caps w:val="false"/>
                <w:smallCaps w:val="false"/>
              </w:rPr>
              <w:t> </w:t>
            </w:r>
          </w:p>
        </w:tc>
        <w:tc>
          <w:tcPr>
            <w:tcW w:w="384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c>
          <w:tcPr>
            <w:tcW w:w="38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Gérard Ducourret</w:t>
            </w:r>
          </w:p>
        </w:tc>
      </w:tr>
      <w:tr>
        <w:trPr/>
        <w:tc>
          <w:tcPr>
            <w:tcW w:w="290" w:type="dxa"/>
            <w:tcBorders/>
            <w:vAlign w:val="center"/>
          </w:tcPr>
          <w:p>
            <w:pPr>
              <w:pStyle w:val="TableContents"/>
              <w:bidi w:val="0"/>
              <w:spacing w:before="0" w:after="283"/>
              <w:jc w:val="left"/>
              <w:rPr>
                <w:caps w:val="false"/>
                <w:smallCaps w:val="false"/>
              </w:rPr>
            </w:pPr>
            <w:r>
              <w:rPr>
                <w:caps w:val="false"/>
                <w:smallCaps w:val="false"/>
              </w:rPr>
              <w:t> </w:t>
            </w:r>
          </w:p>
        </w:tc>
        <w:tc>
          <w:tcPr>
            <w:tcW w:w="384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w:t>
            </w:r>
          </w:p>
        </w:tc>
        <w:tc>
          <w:tcPr>
            <w:tcW w:w="38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FINANCIERE FURSTENFELD</w:t>
            </w:r>
          </w:p>
        </w:tc>
      </w:tr>
      <w:tr>
        <w:trPr/>
        <w:tc>
          <w:tcPr>
            <w:tcW w:w="290" w:type="dxa"/>
            <w:tcBorders/>
            <w:vAlign w:val="center"/>
          </w:tcPr>
          <w:p>
            <w:pPr>
              <w:pStyle w:val="TableContents"/>
              <w:bidi w:val="0"/>
              <w:spacing w:before="0" w:after="283"/>
              <w:jc w:val="left"/>
              <w:rPr>
                <w:caps w:val="false"/>
                <w:smallCaps w:val="false"/>
              </w:rPr>
            </w:pPr>
            <w:r>
              <w:rPr>
                <w:caps w:val="false"/>
                <w:smallCaps w:val="false"/>
              </w:rPr>
              <w:t> </w:t>
            </w:r>
          </w:p>
        </w:tc>
        <w:tc>
          <w:tcPr>
            <w:tcW w:w="384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w:t>
            </w:r>
          </w:p>
        </w:tc>
        <w:tc>
          <w:tcPr>
            <w:tcW w:w="38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David Leray</w:t>
            </w:r>
          </w:p>
        </w:tc>
      </w:tr>
      <w:tr>
        <w:trPr/>
        <w:tc>
          <w:tcPr>
            <w:tcW w:w="290" w:type="dxa"/>
            <w:tcBorders/>
            <w:vAlign w:val="center"/>
          </w:tcPr>
          <w:p>
            <w:pPr>
              <w:pStyle w:val="TableContents"/>
              <w:bidi w:val="0"/>
              <w:spacing w:before="0" w:after="283"/>
              <w:jc w:val="left"/>
              <w:rPr>
                <w:caps w:val="false"/>
                <w:smallCaps w:val="false"/>
              </w:rPr>
            </w:pPr>
            <w:r>
              <w:rPr>
                <w:caps w:val="false"/>
                <w:smallCaps w:val="false"/>
              </w:rPr>
              <w:t> </w:t>
            </w:r>
          </w:p>
        </w:tc>
        <w:tc>
          <w:tcPr>
            <w:tcW w:w="384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w:t>
            </w:r>
          </w:p>
        </w:tc>
        <w:tc>
          <w:tcPr>
            <w:tcW w:w="38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MICROPORT CARDIOVASCULAR LLC</w:t>
            </w:r>
          </w:p>
        </w:tc>
      </w:tr>
      <w:tr>
        <w:trPr/>
        <w:tc>
          <w:tcPr>
            <w:tcW w:w="290" w:type="dxa"/>
            <w:tcBorders/>
            <w:vAlign w:val="center"/>
          </w:tcPr>
          <w:p>
            <w:pPr>
              <w:pStyle w:val="TableContents"/>
              <w:bidi w:val="0"/>
              <w:spacing w:before="0" w:after="283"/>
              <w:jc w:val="left"/>
              <w:rPr>
                <w:caps w:val="false"/>
                <w:smallCaps w:val="false"/>
              </w:rPr>
            </w:pPr>
            <w:r>
              <w:rPr>
                <w:caps w:val="false"/>
                <w:smallCaps w:val="false"/>
              </w:rPr>
              <w:t> </w:t>
            </w:r>
          </w:p>
        </w:tc>
        <w:tc>
          <w:tcPr>
            <w:tcW w:w="384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w:t>
            </w:r>
          </w:p>
        </w:tc>
        <w:tc>
          <w:tcPr>
            <w:tcW w:w="38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 (Rocky) Shen</w:t>
            </w:r>
          </w:p>
        </w:tc>
      </w:tr>
      <w:tr>
        <w:trPr/>
        <w:tc>
          <w:tcPr>
            <w:tcW w:w="290" w:type="dxa"/>
            <w:tcBorders/>
            <w:vAlign w:val="center"/>
          </w:tcPr>
          <w:p>
            <w:pPr>
              <w:pStyle w:val="TableContents"/>
              <w:bidi w:val="0"/>
              <w:spacing w:before="0" w:after="283"/>
              <w:jc w:val="left"/>
              <w:rPr>
                <w:caps w:val="false"/>
                <w:smallCaps w:val="false"/>
              </w:rPr>
            </w:pPr>
            <w:r>
              <w:rPr>
                <w:caps w:val="false"/>
                <w:smallCaps w:val="false"/>
              </w:rPr>
              <w:t> </w:t>
            </w:r>
          </w:p>
        </w:tc>
        <w:tc>
          <w:tcPr>
            <w:tcW w:w="384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w:t>
            </w:r>
          </w:p>
        </w:tc>
        <w:tc>
          <w:tcPr>
            <w:tcW w:w="38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Objectif Innovation 10 (Anaxago)</w:t>
            </w:r>
          </w:p>
        </w:tc>
      </w:tr>
      <w:tr>
        <w:trPr/>
        <w:tc>
          <w:tcPr>
            <w:tcW w:w="290" w:type="dxa"/>
            <w:tcBorders/>
            <w:vAlign w:val="center"/>
          </w:tcPr>
          <w:p>
            <w:pPr>
              <w:pStyle w:val="TableContents"/>
              <w:bidi w:val="0"/>
              <w:spacing w:before="0" w:after="283"/>
              <w:jc w:val="left"/>
              <w:rPr>
                <w:caps w:val="false"/>
                <w:smallCaps w:val="false"/>
              </w:rPr>
            </w:pPr>
            <w:r>
              <w:rPr>
                <w:caps w:val="false"/>
                <w:smallCaps w:val="false"/>
              </w:rPr>
              <w:t> </w:t>
            </w:r>
          </w:p>
        </w:tc>
        <w:tc>
          <w:tcPr>
            <w:tcW w:w="384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w:t>
            </w:r>
          </w:p>
        </w:tc>
        <w:tc>
          <w:tcPr>
            <w:tcW w:w="38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Objectif Innovation 63 (Anaxago)</w:t>
            </w:r>
          </w:p>
        </w:tc>
      </w:tr>
      <w:tr>
        <w:trPr/>
        <w:tc>
          <w:tcPr>
            <w:tcW w:w="290" w:type="dxa"/>
            <w:tcBorders/>
            <w:vAlign w:val="center"/>
          </w:tcPr>
          <w:p>
            <w:pPr>
              <w:pStyle w:val="TableContents"/>
              <w:bidi w:val="0"/>
              <w:spacing w:before="0" w:after="283"/>
              <w:jc w:val="left"/>
              <w:rPr>
                <w:caps w:val="false"/>
                <w:smallCaps w:val="false"/>
              </w:rPr>
            </w:pPr>
            <w:r>
              <w:rPr>
                <w:caps w:val="false"/>
                <w:smallCaps w:val="false"/>
              </w:rPr>
              <w:t> </w:t>
            </w:r>
          </w:p>
        </w:tc>
        <w:tc>
          <w:tcPr>
            <w:tcW w:w="384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w:t>
            </w:r>
          </w:p>
        </w:tc>
        <w:tc>
          <w:tcPr>
            <w:tcW w:w="38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Trefoil Investments S.à r.l.</w:t>
            </w:r>
          </w:p>
        </w:tc>
      </w:tr>
      <w:tr>
        <w:trPr/>
        <w:tc>
          <w:tcPr>
            <w:tcW w:w="290" w:type="dxa"/>
            <w:tcBorders/>
            <w:vAlign w:val="center"/>
          </w:tcPr>
          <w:p>
            <w:pPr>
              <w:pStyle w:val="TableContents"/>
              <w:bidi w:val="0"/>
              <w:spacing w:before="0" w:after="283"/>
              <w:jc w:val="left"/>
              <w:rPr>
                <w:caps w:val="false"/>
                <w:smallCaps w:val="false"/>
              </w:rPr>
            </w:pPr>
            <w:r>
              <w:rPr>
                <w:caps w:val="false"/>
                <w:smallCaps w:val="false"/>
              </w:rPr>
              <w:t> </w:t>
            </w:r>
          </w:p>
        </w:tc>
        <w:tc>
          <w:tcPr>
            <w:tcW w:w="384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w:t>
            </w:r>
          </w:p>
        </w:tc>
        <w:tc>
          <w:tcPr>
            <w:tcW w:w="38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Tuskark Technology Investment Europe S.à r.l.</w:t>
            </w:r>
          </w:p>
        </w:tc>
      </w:tr>
      <w:tr>
        <w:trPr/>
        <w:tc>
          <w:tcPr>
            <w:tcW w:w="290" w:type="dxa"/>
            <w:tcBorders/>
            <w:vAlign w:val="center"/>
          </w:tcPr>
          <w:p>
            <w:pPr>
              <w:pStyle w:val="TableContents"/>
              <w:bidi w:val="0"/>
              <w:spacing w:before="0" w:after="283"/>
              <w:jc w:val="left"/>
              <w:rPr>
                <w:caps w:val="false"/>
                <w:smallCaps w:val="false"/>
              </w:rPr>
            </w:pPr>
            <w:r>
              <w:rPr>
                <w:caps w:val="false"/>
                <w:smallCaps w:val="false"/>
              </w:rPr>
              <w:t> </w:t>
            </w:r>
          </w:p>
        </w:tc>
        <w:tc>
          <w:tcPr>
            <w:tcW w:w="384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38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CS Group</w:t>
            </w:r>
          </w:p>
        </w:tc>
      </w:tr>
      <w:tr>
        <w:trPr/>
        <w:tc>
          <w:tcPr>
            <w:tcW w:w="290" w:type="dxa"/>
            <w:tcBorders/>
            <w:vAlign w:val="center"/>
          </w:tcPr>
          <w:p>
            <w:pPr>
              <w:pStyle w:val="TableContents"/>
              <w:bidi w:val="0"/>
              <w:spacing w:before="0" w:after="283"/>
              <w:jc w:val="left"/>
              <w:rPr>
                <w:caps w:val="false"/>
                <w:smallCaps w:val="false"/>
              </w:rPr>
            </w:pPr>
            <w:r>
              <w:rPr>
                <w:caps w:val="false"/>
                <w:smallCaps w:val="false"/>
              </w:rPr>
              <w:t> </w:t>
            </w:r>
          </w:p>
        </w:tc>
        <w:tc>
          <w:tcPr>
            <w:tcW w:w="384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c>
          <w:tcPr>
            <w:tcW w:w="38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CEN INNOVATION</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24" w:name="ex23-1.htm"/>
      <w:bookmarkStart w:id="25" w:name="ksex231"/>
      <w:bookmarkEnd w:id="24"/>
      <w:bookmarkEnd w:id="25"/>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23.1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Consent of Independent Registered Public Accounting Firm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consent to the reference to our firm under the caption “Experts” in the Registration Statement (Form S-3) and related Prospectus of Stereotaxis, Inc. for the registration of up to 19,449,603 shares of its common stock and to the incorporation by reference therein of our report dated March 12, 2026, with respect to the consolidated financial statements of Stereotaxis, Inc. included in its Annual Report (Form 10-K) for the year ended December 31, 2025, and the financial statement schedule of Stereotaxis, Inc., included therein, filed with the Securities and Exchange Commission.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Ernst &amp; Young LLP</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 Louis, Missouri</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15, 2026</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caps w:val="false"/>
          <w:smallCaps w:val="false"/>
        </w:rPr>
      </w:pPr>
      <w:bookmarkStart w:id="26" w:name="ex24-1.htm"/>
      <w:bookmarkStart w:id="27" w:name="ksex241"/>
      <w:bookmarkEnd w:id="26"/>
      <w:bookmarkEnd w:id="27"/>
      <w:r>
        <w:rPr>
          <w:caps w:val="false"/>
          <w:smallCaps w:val="false"/>
        </w:rPr>
        <w:t> </w:t>
      </w:r>
      <w:r>
        <w:br w:type="page"/>
      </w:r>
    </w:p>
    <w:p>
      <w:pPr>
        <w:pStyle w:val="TextBody"/>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24.1</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OF ATTORNEY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KNOW ALL PERSONS BY THESE PRESENTS, that each person whose signature appears below hereby constitutes and appoints David L. Fischel, Kimberly R. Peery and Patricia S. Williams, and each of them (with full power of each to act alone), severally, as his or her true and lawful attorneys-in-fact and agents, with full power of substitution and resubstitution, for him or her and to execute in his or her name, place and stead (individually and in any capacity stated below) a resale shelf registration statement on Form S-3 (the “Registration Statement”) covering the registration of certain shares of common stock, par value $0.001, and shares of common stock underlying warrants of Stereotaxis, Inc. (the “Company”) for resale by or on behalf of certain selling stockholders pursuant to registration rights granted under that certain Share Sale Agreement, dated as of April 14, 2026, by and among the Company; Robocath, a French </w:t>
      </w:r>
      <w:r>
        <w:rPr>
          <w:rFonts w:ascii="Times New Roman;Times;Serif" w:hAnsi="Times New Roman;Times;Serif"/>
          <w:b w:val="false"/>
          <w:i/>
          <w:caps w:val="false"/>
          <w:smallCaps w:val="false"/>
          <w:sz w:val="20"/>
        </w:rPr>
        <w:t>société par actions simplifiée</w:t>
      </w:r>
      <w:r>
        <w:rPr>
          <w:rFonts w:ascii="Times New Roman;Times;Serif" w:hAnsi="Times New Roman;Times;Serif"/>
          <w:b w:val="false"/>
          <w:i w:val="false"/>
          <w:caps w:val="false"/>
          <w:smallCaps w:val="false"/>
          <w:sz w:val="20"/>
        </w:rPr>
        <w:t>; Philippe Bencteux, as Manager; and the shareholders of Robocath listed in Exhibit A thereto, and any and all pre-effective and post-effective amendments to the Registration Statement), and any additional registration statement filed pursuant to Rule 462(b) under the Securities Act of 1933, as amended, and all documents and instruments necessary or advisable in connection therewith, and to file the same, with exhibits thereto and other documents in connection therewith, with the Securities and Exchange Commission (or any other governmental regulatory authority), each of said attorneys-in-fact and agents to have power to act with or without the others and to have full power and authority to do and to perform in the name and on behalf of each of the undersigned every act whatsoever necessary or advisable to be done in the premises as fully and to all intents and purposes as any of the undersigned might or could do in person, hereby ratifying and confirming all that said attorneys-in-fact and agents and/or any of them, or their substitute or substitutes, may lawfully do or cause to be done by virtue hereof.</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July 15, 2026</w:t>
      </w:r>
    </w:p>
    <w:p>
      <w:pPr>
        <w:pStyle w:val="TextBody"/>
        <w:bidi w:val="0"/>
        <w:spacing w:before="0" w:after="0"/>
        <w:ind w:left="0" w:right="0" w:hanging="0"/>
        <w:jc w:val="left"/>
        <w:rPr>
          <w:caps w:val="false"/>
          <w:smallCaps w:val="false"/>
        </w:rPr>
      </w:pPr>
      <w:r>
        <w:rPr>
          <w:caps w:val="false"/>
          <w:smallCaps w:val="false"/>
        </w:rPr>
        <w:t> </w:t>
      </w:r>
    </w:p>
    <w:tbl>
      <w:tblPr>
        <w:tblW w:w="6685" w:type="dxa"/>
        <w:jc w:val="left"/>
        <w:tblInd w:w="0" w:type="dxa"/>
        <w:tblLayout w:type="fixed"/>
        <w:tblCellMar>
          <w:top w:w="0" w:type="dxa"/>
          <w:left w:w="0" w:type="dxa"/>
          <w:bottom w:w="28" w:type="dxa"/>
          <w:right w:w="0" w:type="dxa"/>
        </w:tblCellMar>
      </w:tblPr>
      <w:tblGrid>
        <w:gridCol w:w="1745"/>
        <w:gridCol w:w="60"/>
        <w:gridCol w:w="4880"/>
      </w:tblGrid>
      <w:tr>
        <w:trPr/>
        <w:tc>
          <w:tcPr>
            <w:tcW w:w="1745"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Name: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880" w:type="dxa"/>
            <w:tcBorders>
              <w:bottom w:val="single" w:sz="8" w:space="0" w:color="000000"/>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r>
      <w:tr>
        <w:trPr/>
        <w:tc>
          <w:tcPr>
            <w:tcW w:w="174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88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1745"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David L. Fischel</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88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Chairman and Chief Executive Officer</w:t>
            </w:r>
          </w:p>
        </w:tc>
      </w:tr>
      <w:tr>
        <w:trPr/>
        <w:tc>
          <w:tcPr>
            <w:tcW w:w="174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David L. Fischel</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88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executive officer)</w:t>
            </w:r>
          </w:p>
        </w:tc>
      </w:tr>
      <w:tr>
        <w:trPr/>
        <w:tc>
          <w:tcPr>
            <w:tcW w:w="174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88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1745"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Kimberly R. Peery</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88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tc>
      </w:tr>
      <w:tr>
        <w:trPr/>
        <w:tc>
          <w:tcPr>
            <w:tcW w:w="174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Kimberly R. Peery</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88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financial officer and principal accounting officer)</w:t>
            </w:r>
          </w:p>
        </w:tc>
      </w:tr>
      <w:tr>
        <w:trPr/>
        <w:tc>
          <w:tcPr>
            <w:tcW w:w="174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88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1745"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David W. Benfer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88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r>
      <w:tr>
        <w:trPr/>
        <w:tc>
          <w:tcPr>
            <w:tcW w:w="174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David W. Benfer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88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174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88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1745"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Nathan Fischel</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88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r>
      <w:tr>
        <w:trPr/>
        <w:tc>
          <w:tcPr>
            <w:tcW w:w="174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Nathan Fischel</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88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174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88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1745"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Myriam J. Curet</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88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r>
      <w:tr>
        <w:trPr/>
        <w:tc>
          <w:tcPr>
            <w:tcW w:w="174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Myriam J. Curet</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88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174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88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1745"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Arun S. Menawat</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88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r>
      <w:tr>
        <w:trPr/>
        <w:tc>
          <w:tcPr>
            <w:tcW w:w="174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Arun S. Menawat</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88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174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88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1745"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Nachum Shamir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88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r>
      <w:tr>
        <w:trPr/>
        <w:tc>
          <w:tcPr>
            <w:tcW w:w="174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Nachum Shamir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88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174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88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1745"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Ross B. Levin</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88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r>
      <w:tr>
        <w:trPr/>
        <w:tc>
          <w:tcPr>
            <w:tcW w:w="174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Ross B. Levin</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88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28" w:name="ex107.htm"/>
      <w:bookmarkStart w:id="29" w:name="ksex107"/>
      <w:bookmarkStart w:id="30" w:name="ex107.htm"/>
      <w:bookmarkStart w:id="31" w:name="ksex107"/>
      <w:bookmarkEnd w:id="30"/>
      <w:bookmarkEnd w:id="31"/>
      <w:r>
        <w:br w:type="page"/>
      </w:r>
    </w:p>
    <w:tbl>
      <w:tblPr>
        <w:tblW w:w="3561" w:type="dxa"/>
        <w:jc w:val="left"/>
        <w:tblInd w:w="0" w:type="dxa"/>
        <w:tblLayout w:type="fixed"/>
        <w:tblCellMar>
          <w:top w:w="28" w:type="dxa"/>
          <w:left w:w="28" w:type="dxa"/>
          <w:bottom w:w="28" w:type="dxa"/>
          <w:right w:w="28" w:type="dxa"/>
        </w:tblCellMar>
      </w:tblPr>
      <w:tblGrid>
        <w:gridCol w:w="3407"/>
        <w:gridCol w:w="154"/>
      </w:tblGrid>
      <w:tr>
        <w:trPr/>
        <w:tc>
          <w:tcPr>
            <w:tcW w:w="3561"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3407" w:type="dxa"/>
            <w:tcBorders/>
            <w:vAlign w:val="center"/>
          </w:tcPr>
          <w:p>
            <w:pPr>
              <w:pStyle w:val="TableContents"/>
              <w:bidi w:val="0"/>
              <w:spacing w:before="0" w:after="283"/>
              <w:jc w:val="left"/>
              <w:rPr>
                <w:b/>
              </w:rPr>
            </w:pPr>
            <w:r>
              <w:rPr>
                <w:b/>
              </w:rPr>
              <w:t xml:space="preserve">S-3 </w:t>
            </w:r>
          </w:p>
        </w:tc>
        <w:tc>
          <w:tcPr>
            <w:tcW w:w="154" w:type="dxa"/>
            <w:tcBorders/>
          </w:tcPr>
          <w:p>
            <w:pPr>
              <w:pStyle w:val="TableContents"/>
              <w:bidi w:val="0"/>
              <w:spacing w:before="0" w:after="283"/>
              <w:jc w:val="left"/>
              <w:rPr>
                <w:sz w:val="4"/>
                <w:szCs w:val="4"/>
              </w:rPr>
            </w:pPr>
            <w:r>
              <w:rPr>
                <w:sz w:val="4"/>
                <w:szCs w:val="4"/>
              </w:rPr>
            </w:r>
          </w:p>
        </w:tc>
      </w:tr>
      <w:tr>
        <w:trPr/>
        <w:tc>
          <w:tcPr>
            <w:tcW w:w="3407" w:type="dxa"/>
            <w:tcBorders/>
            <w:vAlign w:val="center"/>
          </w:tcPr>
          <w:p>
            <w:pPr>
              <w:pStyle w:val="TableContents"/>
              <w:bidi w:val="0"/>
              <w:spacing w:before="0" w:after="283"/>
              <w:jc w:val="left"/>
              <w:rPr>
                <w:b/>
              </w:rPr>
            </w:pPr>
            <w:r>
              <w:rPr>
                <w:b/>
              </w:rPr>
              <w:t xml:space="preserve">Stereotaxis, Inc. </w:t>
            </w:r>
          </w:p>
        </w:tc>
        <w:tc>
          <w:tcPr>
            <w:tcW w:w="154" w:type="dxa"/>
            <w:tcBorders/>
          </w:tcPr>
          <w:p>
            <w:pPr>
              <w:pStyle w:val="TableContents"/>
              <w:bidi w:val="0"/>
              <w:spacing w:before="0" w:after="283"/>
              <w:jc w:val="left"/>
              <w:rPr>
                <w:sz w:val="4"/>
                <w:szCs w:val="4"/>
              </w:rPr>
            </w:pPr>
            <w:r>
              <w:rPr>
                <w:sz w:val="4"/>
                <w:szCs w:val="4"/>
              </w:rPr>
            </w:r>
          </w:p>
        </w:tc>
      </w:tr>
    </w:tbl>
    <w:tbl>
      <w:tblPr>
        <w:tblW w:w="7967" w:type="dxa"/>
        <w:jc w:val="left"/>
        <w:tblInd w:w="0" w:type="dxa"/>
        <w:tblLayout w:type="fixed"/>
        <w:tblCellMar>
          <w:top w:w="28" w:type="dxa"/>
          <w:left w:w="28" w:type="dxa"/>
          <w:bottom w:w="28" w:type="dxa"/>
          <w:right w:w="28" w:type="dxa"/>
        </w:tblCellMar>
      </w:tblPr>
      <w:tblGrid>
        <w:gridCol w:w="6016"/>
        <w:gridCol w:w="1951"/>
      </w:tblGrid>
      <w:tr>
        <w:trPr/>
        <w:tc>
          <w:tcPr>
            <w:tcW w:w="6016" w:type="dxa"/>
            <w:tcBorders/>
            <w:vAlign w:val="center"/>
          </w:tcPr>
          <w:p>
            <w:pPr>
              <w:pStyle w:val="TableHeading"/>
              <w:bidi w:val="0"/>
              <w:spacing w:before="0" w:after="283"/>
              <w:jc w:val="left"/>
              <w:rPr/>
            </w:pPr>
            <w:r>
              <w:rPr>
                <w:b/>
              </w:rPr>
              <w:t>Table 1: Newly Registered and Carry Forward Securities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5434" w:type="dxa"/>
        <w:jc w:val="left"/>
        <w:tblInd w:w="0" w:type="dxa"/>
        <w:tblLayout w:type="fixed"/>
        <w:tblCellMar>
          <w:top w:w="28" w:type="dxa"/>
          <w:left w:w="28" w:type="dxa"/>
          <w:bottom w:w="28" w:type="dxa"/>
          <w:right w:w="28" w:type="dxa"/>
        </w:tblCellMar>
      </w:tblPr>
      <w:tblGrid>
        <w:gridCol w:w="1126"/>
        <w:gridCol w:w="226"/>
        <w:gridCol w:w="946"/>
        <w:gridCol w:w="991"/>
        <w:gridCol w:w="1276"/>
        <w:gridCol w:w="1186"/>
        <w:gridCol w:w="1156"/>
        <w:gridCol w:w="1666"/>
        <w:gridCol w:w="1126"/>
        <w:gridCol w:w="1351"/>
        <w:gridCol w:w="1021"/>
        <w:gridCol w:w="1021"/>
        <w:gridCol w:w="1021"/>
        <w:gridCol w:w="1321"/>
      </w:tblGrid>
      <w:tr>
        <w:trPr/>
        <w:tc>
          <w:tcPr>
            <w:tcW w:w="1126" w:type="dxa"/>
            <w:tcBorders/>
            <w:shd w:fill="9ADAF6" w:val="clear"/>
            <w:vAlign w:val="center"/>
          </w:tcPr>
          <w:p>
            <w:pPr>
              <w:pStyle w:val="TableHeading"/>
              <w:bidi w:val="0"/>
              <w:spacing w:before="0" w:after="283"/>
              <w:rPr>
                <w:sz w:val="4"/>
                <w:szCs w:val="4"/>
              </w:rPr>
            </w:pPr>
            <w:r>
              <w:rPr>
                <w:sz w:val="4"/>
                <w:szCs w:val="4"/>
              </w:rPr>
            </w:r>
          </w:p>
        </w:tc>
        <w:tc>
          <w:tcPr>
            <w:tcW w:w="226" w:type="dxa"/>
            <w:tcBorders/>
            <w:shd w:fill="9ADAF6" w:val="clear"/>
            <w:vAlign w:val="center"/>
          </w:tcPr>
          <w:p>
            <w:pPr>
              <w:pStyle w:val="TableHeading"/>
              <w:bidi w:val="0"/>
              <w:spacing w:before="0" w:after="283"/>
              <w:rPr>
                <w:sz w:val="4"/>
                <w:szCs w:val="4"/>
              </w:rPr>
            </w:pPr>
            <w:r>
              <w:rPr>
                <w:sz w:val="4"/>
                <w:szCs w:val="4"/>
              </w:rPr>
            </w:r>
          </w:p>
        </w:tc>
        <w:tc>
          <w:tcPr>
            <w:tcW w:w="946"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991"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276" w:type="dxa"/>
            <w:tcBorders/>
            <w:shd w:fill="9ADAF6" w:val="clear"/>
            <w:vAlign w:val="center"/>
          </w:tcPr>
          <w:p>
            <w:pPr>
              <w:pStyle w:val="TableHeading"/>
              <w:bidi w:val="0"/>
              <w:spacing w:before="0" w:after="0"/>
              <w:ind w:left="0" w:right="0" w:hanging="0"/>
              <w:jc w:val="center"/>
              <w:rPr/>
            </w:pPr>
            <w:r>
              <w:rPr>
                <w:b/>
              </w:rPr>
              <w:t>Fee Calculation or Carry Forward Rule</w:t>
            </w:r>
            <w:r>
              <w:rPr/>
              <w:t xml:space="preserve"> </w:t>
            </w:r>
          </w:p>
        </w:tc>
        <w:tc>
          <w:tcPr>
            <w:tcW w:w="1186"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156"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666"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126"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351"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Form Type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File Number</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Initial Effective Date</w:t>
            </w:r>
            <w:r>
              <w:rPr/>
              <w:t xml:space="preserve"> </w:t>
            </w:r>
          </w:p>
        </w:tc>
        <w:tc>
          <w:tcPr>
            <w:tcW w:w="1321" w:type="dxa"/>
            <w:tcBorders/>
            <w:shd w:fill="9ADAF6" w:val="clear"/>
            <w:vAlign w:val="center"/>
          </w:tcPr>
          <w:p>
            <w:pPr>
              <w:pStyle w:val="TableHeading"/>
              <w:bidi w:val="0"/>
              <w:spacing w:before="0" w:after="0"/>
              <w:ind w:left="0" w:right="0" w:hanging="0"/>
              <w:jc w:val="center"/>
              <w:rPr/>
            </w:pPr>
            <w:r>
              <w:rPr>
                <w:b/>
              </w:rPr>
              <w:t>Filing Fee Previously Paid in Connection with Unsold Securities to be Carried Forward</w:t>
            </w:r>
            <w:r>
              <w:rPr/>
              <w:t xml:space="preserve"> </w:t>
            </w:r>
          </w:p>
        </w:tc>
      </w:tr>
      <w:tr>
        <w:trPr/>
        <w:tc>
          <w:tcPr>
            <w:tcW w:w="15434" w:type="dxa"/>
            <w:gridSpan w:val="14"/>
            <w:tcBorders/>
            <w:vAlign w:val="center"/>
          </w:tcPr>
          <w:p>
            <w:pPr>
              <w:pStyle w:val="TableContents"/>
              <w:bidi w:val="0"/>
              <w:spacing w:before="0" w:after="283"/>
              <w:jc w:val="center"/>
              <w:rPr/>
            </w:pPr>
            <w:r>
              <w:rPr>
                <w:b/>
              </w:rPr>
              <w:t>Newly Registered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1 </w:t>
            </w:r>
          </w:p>
        </w:tc>
        <w:tc>
          <w:tcPr>
            <w:tcW w:w="946" w:type="dxa"/>
            <w:tcBorders/>
            <w:shd w:fill="E7E7E2" w:val="clear"/>
            <w:vAlign w:val="center"/>
          </w:tcPr>
          <w:p>
            <w:pPr>
              <w:pStyle w:val="TableContents"/>
              <w:bidi w:val="0"/>
              <w:spacing w:before="0" w:after="283"/>
              <w:jc w:val="left"/>
              <w:rPr/>
            </w:pPr>
            <w:r>
              <w:rPr/>
              <w:t xml:space="preserve">Equity </w:t>
            </w:r>
          </w:p>
        </w:tc>
        <w:tc>
          <w:tcPr>
            <w:tcW w:w="991" w:type="dxa"/>
            <w:tcBorders/>
            <w:shd w:fill="E7E7E2" w:val="clear"/>
            <w:vAlign w:val="center"/>
          </w:tcPr>
          <w:p>
            <w:pPr>
              <w:pStyle w:val="TableContents"/>
              <w:bidi w:val="0"/>
              <w:spacing w:before="0" w:after="283"/>
              <w:jc w:val="left"/>
              <w:rPr/>
            </w:pPr>
            <w:r>
              <w:rPr/>
              <w:t xml:space="preserve">Common Stock, $0.001 par value </w:t>
            </w:r>
          </w:p>
        </w:tc>
        <w:tc>
          <w:tcPr>
            <w:tcW w:w="1276" w:type="dxa"/>
            <w:tcBorders/>
            <w:shd w:fill="E7E7E2" w:val="clear"/>
            <w:vAlign w:val="center"/>
          </w:tcPr>
          <w:p>
            <w:pPr>
              <w:pStyle w:val="TableContents"/>
              <w:bidi w:val="0"/>
              <w:spacing w:before="0" w:after="283"/>
              <w:jc w:val="center"/>
              <w:rPr/>
            </w:pPr>
            <w:r>
              <w:rPr/>
              <w:t xml:space="preserve">Other </w:t>
            </w:r>
          </w:p>
        </w:tc>
        <w:tc>
          <w:tcPr>
            <w:tcW w:w="1186" w:type="dxa"/>
            <w:tcBorders/>
            <w:shd w:fill="E7E7E2" w:val="clear"/>
            <w:vAlign w:val="center"/>
          </w:tcPr>
          <w:p>
            <w:pPr>
              <w:pStyle w:val="TableContents"/>
              <w:bidi w:val="0"/>
              <w:spacing w:before="0" w:after="283"/>
              <w:jc w:val="right"/>
              <w:rPr/>
            </w:pPr>
            <w:r>
              <w:rPr/>
              <w:t xml:space="preserve">19,449,603 </w:t>
            </w:r>
          </w:p>
        </w:tc>
        <w:tc>
          <w:tcPr>
            <w:tcW w:w="1156" w:type="dxa"/>
            <w:tcBorders/>
            <w:shd w:fill="E7E7E2" w:val="clear"/>
            <w:vAlign w:val="center"/>
          </w:tcPr>
          <w:p>
            <w:pPr>
              <w:pStyle w:val="TableContents"/>
              <w:bidi w:val="0"/>
              <w:spacing w:before="0" w:after="283"/>
              <w:jc w:val="right"/>
              <w:rPr/>
            </w:pPr>
            <w:r>
              <w:rPr/>
              <w:t xml:space="preserve">$ 1.62 </w:t>
            </w:r>
          </w:p>
        </w:tc>
        <w:tc>
          <w:tcPr>
            <w:tcW w:w="1666" w:type="dxa"/>
            <w:tcBorders/>
            <w:shd w:fill="E7E7E2" w:val="clear"/>
            <w:vAlign w:val="center"/>
          </w:tcPr>
          <w:p>
            <w:pPr>
              <w:pStyle w:val="TableContents"/>
              <w:bidi w:val="0"/>
              <w:spacing w:before="0" w:after="283"/>
              <w:jc w:val="right"/>
              <w:rPr/>
            </w:pPr>
            <w:r>
              <w:rPr/>
              <w:t xml:space="preserve">$ 31,508,356.86 </w:t>
            </w:r>
          </w:p>
        </w:tc>
        <w:tc>
          <w:tcPr>
            <w:tcW w:w="1126" w:type="dxa"/>
            <w:tcBorders/>
            <w:shd w:fill="E7E7E2" w:val="clear"/>
            <w:vAlign w:val="center"/>
          </w:tcPr>
          <w:p>
            <w:pPr>
              <w:pStyle w:val="TableContents"/>
              <w:bidi w:val="0"/>
              <w:spacing w:before="0" w:after="283"/>
              <w:jc w:val="right"/>
              <w:rPr/>
            </w:pPr>
            <w:r>
              <w:rPr/>
              <w:t xml:space="preserve">0.0001381 </w:t>
            </w:r>
          </w:p>
        </w:tc>
        <w:tc>
          <w:tcPr>
            <w:tcW w:w="1351" w:type="dxa"/>
            <w:tcBorders/>
            <w:shd w:fill="E7E7E2" w:val="clear"/>
            <w:vAlign w:val="center"/>
          </w:tcPr>
          <w:p>
            <w:pPr>
              <w:pStyle w:val="TableContents"/>
              <w:bidi w:val="0"/>
              <w:spacing w:before="0" w:after="283"/>
              <w:jc w:val="right"/>
              <w:rPr/>
            </w:pPr>
            <w:r>
              <w:rPr/>
              <w:t xml:space="preserve">$ 4,351.30 </w:t>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Previously Paid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991"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66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5434" w:type="dxa"/>
            <w:gridSpan w:val="14"/>
            <w:tcBorders/>
            <w:vAlign w:val="center"/>
          </w:tcPr>
          <w:p>
            <w:pPr>
              <w:pStyle w:val="TableContents"/>
              <w:bidi w:val="0"/>
              <w:spacing w:before="0" w:after="283"/>
              <w:jc w:val="center"/>
              <w:rPr/>
            </w:pPr>
            <w:r>
              <w:rPr>
                <w:b/>
              </w:rPr>
              <w:t>Carry Forward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Carry Forward Securities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991"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66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53" w:type="dxa"/>
            <w:gridSpan w:val="3"/>
            <w:tcBorders/>
            <w:vAlign w:val="center"/>
          </w:tcPr>
          <w:p>
            <w:pPr>
              <w:pStyle w:val="TableContents"/>
              <w:bidi w:val="0"/>
              <w:spacing w:before="0" w:after="0"/>
              <w:ind w:left="0" w:right="0" w:hanging="0"/>
              <w:jc w:val="right"/>
              <w:rPr/>
            </w:pPr>
            <w:r>
              <w:rPr/>
              <w:t>Total Offering Amounts:</w:t>
            </w:r>
          </w:p>
        </w:tc>
        <w:tc>
          <w:tcPr>
            <w:tcW w:w="1156"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0"/>
              <w:ind w:left="0" w:right="0" w:hanging="0"/>
              <w:jc w:val="right"/>
              <w:rPr/>
            </w:pPr>
            <w:bookmarkStart w:id="32" w:name="MaxAggtOfferingPrice"/>
            <w:bookmarkEnd w:id="32"/>
            <w:r>
              <w:rPr/>
              <w:t xml:space="preserve">$ 31,508,356.86 </w:t>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33" w:name="TotalFeeAmt"/>
            <w:bookmarkEnd w:id="33"/>
            <w:r>
              <w:rPr/>
              <w:t xml:space="preserve">$ 4,351.30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53" w:type="dxa"/>
            <w:gridSpan w:val="3"/>
            <w:tcBorders/>
            <w:vAlign w:val="center"/>
          </w:tcPr>
          <w:p>
            <w:pPr>
              <w:pStyle w:val="TableContents"/>
              <w:bidi w:val="0"/>
              <w:spacing w:before="0" w:after="0"/>
              <w:ind w:left="0" w:right="0" w:hanging="0"/>
              <w:jc w:val="right"/>
              <w:rPr/>
            </w:pPr>
            <w:r>
              <w:rPr/>
              <w:t xml:space="preserve">Total Fees Previously Paid: </w:t>
            </w:r>
          </w:p>
        </w:tc>
        <w:tc>
          <w:tcPr>
            <w:tcW w:w="1156"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34" w:name="TotalPreviouslyPaidAmt"/>
            <w:bookmarkEnd w:id="34"/>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53" w:type="dxa"/>
            <w:gridSpan w:val="3"/>
            <w:tcBorders/>
            <w:vAlign w:val="center"/>
          </w:tcPr>
          <w:p>
            <w:pPr>
              <w:pStyle w:val="TableContents"/>
              <w:bidi w:val="0"/>
              <w:spacing w:before="0" w:after="0"/>
              <w:ind w:left="0" w:right="0" w:hanging="0"/>
              <w:jc w:val="right"/>
              <w:rPr/>
            </w:pPr>
            <w:r>
              <w:rPr/>
              <w:t xml:space="preserve">Total Fee Offsets: </w:t>
            </w:r>
          </w:p>
        </w:tc>
        <w:tc>
          <w:tcPr>
            <w:tcW w:w="1156"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35" w:name="TotalOffsetAmt"/>
            <w:bookmarkEnd w:id="35"/>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53" w:type="dxa"/>
            <w:gridSpan w:val="3"/>
            <w:tcBorders/>
            <w:vAlign w:val="center"/>
          </w:tcPr>
          <w:p>
            <w:pPr>
              <w:pStyle w:val="TableContents"/>
              <w:bidi w:val="0"/>
              <w:spacing w:before="0" w:after="0"/>
              <w:ind w:left="0" w:right="0" w:hanging="0"/>
              <w:jc w:val="right"/>
              <w:rPr/>
            </w:pPr>
            <w:r>
              <w:rPr/>
              <w:t xml:space="preserve">Net Fee Due: </w:t>
            </w:r>
          </w:p>
        </w:tc>
        <w:tc>
          <w:tcPr>
            <w:tcW w:w="1156"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36" w:name="NetFeeAmt"/>
            <w:bookmarkEnd w:id="36"/>
            <w:r>
              <w:rPr/>
              <w:t xml:space="preserve">$ 4,351.30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98"/>
        <w:gridCol w:w="1295"/>
        <w:gridCol w:w="8712"/>
      </w:tblGrid>
      <w:tr>
        <w:trPr/>
        <w:tc>
          <w:tcPr>
            <w:tcW w:w="198"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10007" w:type="dxa"/>
            <w:gridSpan w:val="2"/>
            <w:tcBorders/>
            <w:vAlign w:val="center"/>
          </w:tcPr>
          <w:p>
            <w:pPr>
              <w:pStyle w:val="TableContents"/>
              <w:bidi w:val="0"/>
              <w:spacing w:before="0" w:after="283"/>
              <w:jc w:val="left"/>
              <w:rPr/>
            </w:pPr>
            <w:r>
              <w:rPr/>
              <w:t xml:space="preserve">Pursuant to Rule 416(a) of the Securities Act of 1933, as amended (the "Securities Act"), this Registration Statement shall also cover an indeterminate number of additional shares of the Registrant's common stock, par value $0.001 per share (the "Common Stock"), that becomes issuable with respect to the shares being registered hereunder as a result of stock splits, stock dividends, recapitalizations or similar transactions. The number of shares of Common Stock being registered hereunder is comprised of (i) 6,269,628 shares of Common Stock (including shares of Common Stock issuable upon exercise of certain purchaser warrants ("Purchaser Warrants") received in lieu of Closing Shares) (the "Closing Shares") issued (or issuable upon exercise of such Purchaser Warrants) to the selling stockholders named in this Registration Statement pursuant to the Share Sale Agreement dated as of April 14, 2026, by and among the Registrant, Robocath, the securityholders of Robocath party thereto and an individual serving as manager (the "Share Sale Agreement") and (ii) 13,179,975 additional shares of Common Stock (including shares of Common Stock issuable upon exercise of Purchaser Warrants) (the "Earnout Shares") which may be issued to such selling stockholders assuming (a) the achievement of certain performance milestones set forth in the Share Sale Agreement, and (b) the per share price used to calculate the number of shares of the Registrant's common stock to be issued is $2.00, which is the same per share price used to calculate the number of Closing Shares issued to the selling stockholders. The Earnout Shares have not been earned and are not currently outstanding. The earnout consideration payable upon achievement of such milestones may be satisfied, at the Registrant's election, in cash, by issuing Earnout Shares, or in a combination of cash and Earnout Shares (or Purchaser Warrants). The actual number of Earnout Shares issued to the selling stockholders could be materially less than 13,179,975 shares of common stock depending on whether and to what extent the regulatory approval milestones and/or the commercial milestones are achieved, whether the Registrant elects to pay all or a portion of such consideration in cash or using Earnout Shares (or Purchaser Warrants), and/or the actual average closing price of our common stock at the time such milestones are achieved. Estimated solely for the purpose of calculating the registration fee pursuant to Rule 457(c) under the Securities Act and based upon the average of the high and low prices of the Company's Common Stock as reported on the NYSE American on July 14, 2026. </w:t>
            </w:r>
          </w:p>
        </w:tc>
      </w:tr>
      <w:tr>
        <w:trPr/>
        <w:tc>
          <w:tcPr>
            <w:tcW w:w="1493" w:type="dxa"/>
            <w:gridSpan w:val="2"/>
            <w:tcBorders/>
            <w:vAlign w:val="center"/>
          </w:tcPr>
          <w:p>
            <w:pPr>
              <w:pStyle w:val="HorizontalLine"/>
              <w:pBdr>
                <w:bottom w:val="double" w:sz="2" w:space="0" w:color="808080"/>
              </w:pBdr>
              <w:bidi w:val="0"/>
              <w:spacing w:before="0" w:after="283"/>
              <w:jc w:val="left"/>
              <w:rPr/>
            </w:pPr>
            <w:r>
              <w:rPr/>
            </w:r>
          </w:p>
        </w:tc>
        <w:tc>
          <w:tcPr>
            <w:tcW w:w="8712"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1870" w:type="dxa"/>
        <w:jc w:val="left"/>
        <w:tblInd w:w="0" w:type="dxa"/>
        <w:tblLayout w:type="fixed"/>
        <w:tblCellMar>
          <w:top w:w="28" w:type="dxa"/>
          <w:left w:w="28" w:type="dxa"/>
          <w:bottom w:w="28" w:type="dxa"/>
          <w:right w:w="28" w:type="dxa"/>
        </w:tblCellMar>
      </w:tblPr>
      <w:tblGrid>
        <w:gridCol w:w="871"/>
        <w:gridCol w:w="109"/>
        <w:gridCol w:w="1171"/>
        <w:gridCol w:w="691"/>
        <w:gridCol w:w="961"/>
        <w:gridCol w:w="706"/>
        <w:gridCol w:w="691"/>
        <w:gridCol w:w="961"/>
        <w:gridCol w:w="1186"/>
        <w:gridCol w:w="1186"/>
        <w:gridCol w:w="1186"/>
        <w:gridCol w:w="1186"/>
        <w:gridCol w:w="811"/>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109" w:type="dxa"/>
            <w:tcBorders/>
            <w:shd w:fill="9ADAF6" w:val="clear"/>
            <w:vAlign w:val="center"/>
          </w:tcPr>
          <w:p>
            <w:pPr>
              <w:pStyle w:val="TableHeading"/>
              <w:bidi w:val="0"/>
              <w:spacing w:before="0" w:after="283"/>
              <w:rPr>
                <w:sz w:val="4"/>
                <w:szCs w:val="4"/>
              </w:rPr>
            </w:pPr>
            <w:r>
              <w:rPr>
                <w:sz w:val="4"/>
                <w:szCs w:val="4"/>
              </w:rPr>
            </w:r>
          </w:p>
        </w:tc>
        <w:tc>
          <w:tcPr>
            <w:tcW w:w="117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961"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811"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Rules 457(b) and 0-11(a)(2)</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bl>
    <w:tbl>
      <w:tblPr>
        <w:tblW w:w="5462" w:type="dxa"/>
        <w:jc w:val="left"/>
        <w:tblInd w:w="0" w:type="dxa"/>
        <w:tblLayout w:type="fixed"/>
        <w:tblCellMar>
          <w:top w:w="28" w:type="dxa"/>
          <w:left w:w="28" w:type="dxa"/>
          <w:bottom w:w="28" w:type="dxa"/>
          <w:right w:w="28" w:type="dxa"/>
        </w:tblCellMar>
      </w:tblPr>
      <w:tblGrid>
        <w:gridCol w:w="3511"/>
        <w:gridCol w:w="1951"/>
      </w:tblGrid>
      <w:tr>
        <w:trPr/>
        <w:tc>
          <w:tcPr>
            <w:tcW w:w="3511" w:type="dxa"/>
            <w:tcBorders/>
            <w:vAlign w:val="center"/>
          </w:tcPr>
          <w:p>
            <w:pPr>
              <w:pStyle w:val="TableHeading"/>
              <w:bidi w:val="0"/>
              <w:spacing w:before="0" w:after="283"/>
              <w:jc w:val="left"/>
              <w:rPr/>
            </w:pPr>
            <w:r>
              <w:rPr>
                <w:b/>
              </w:rPr>
              <w:t>Table 3: Combined Prospectuses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0205" w:type="dxa"/>
        <w:jc w:val="left"/>
        <w:tblInd w:w="0" w:type="dxa"/>
        <w:tblLayout w:type="fixed"/>
        <w:tblCellMar>
          <w:top w:w="28" w:type="dxa"/>
          <w:left w:w="28" w:type="dxa"/>
          <w:bottom w:w="28" w:type="dxa"/>
          <w:right w:w="28" w:type="dxa"/>
        </w:tblCellMar>
      </w:tblPr>
      <w:tblGrid>
        <w:gridCol w:w="124"/>
        <w:gridCol w:w="1092"/>
        <w:gridCol w:w="1215"/>
        <w:gridCol w:w="1954"/>
        <w:gridCol w:w="2597"/>
        <w:gridCol w:w="822"/>
        <w:gridCol w:w="1073"/>
        <w:gridCol w:w="1328"/>
      </w:tblGrid>
      <w:tr>
        <w:trPr/>
        <w:tc>
          <w:tcPr>
            <w:tcW w:w="124" w:type="dxa"/>
            <w:tcBorders/>
            <w:shd w:fill="9ADAF6" w:val="clear"/>
            <w:vAlign w:val="center"/>
          </w:tcPr>
          <w:p>
            <w:pPr>
              <w:pStyle w:val="TableHeading"/>
              <w:bidi w:val="0"/>
              <w:spacing w:before="0" w:after="283"/>
              <w:rPr>
                <w:sz w:val="4"/>
                <w:szCs w:val="4"/>
              </w:rPr>
            </w:pPr>
            <w:r>
              <w:rPr>
                <w:sz w:val="4"/>
                <w:szCs w:val="4"/>
              </w:rPr>
            </w:r>
          </w:p>
        </w:tc>
        <w:tc>
          <w:tcPr>
            <w:tcW w:w="1092"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215" w:type="dxa"/>
            <w:tcBorders/>
            <w:shd w:fill="9ADAF6" w:val="clear"/>
            <w:vAlign w:val="center"/>
          </w:tcPr>
          <w:p>
            <w:pPr>
              <w:pStyle w:val="TableHeading"/>
              <w:bidi w:val="0"/>
              <w:spacing w:before="0" w:after="0"/>
              <w:ind w:left="0" w:right="0" w:hanging="0"/>
              <w:jc w:val="center"/>
              <w:rPr/>
            </w:pPr>
            <w:r>
              <w:rPr>
                <w:b/>
              </w:rPr>
              <w:t>Security Class Title</w:t>
            </w:r>
            <w:r>
              <w:rPr/>
              <w:t xml:space="preserve"> </w:t>
            </w:r>
          </w:p>
        </w:tc>
        <w:tc>
          <w:tcPr>
            <w:tcW w:w="1954" w:type="dxa"/>
            <w:tcBorders/>
            <w:shd w:fill="9ADAF6" w:val="clear"/>
            <w:vAlign w:val="center"/>
          </w:tcPr>
          <w:p>
            <w:pPr>
              <w:pStyle w:val="TableHeading"/>
              <w:bidi w:val="0"/>
              <w:spacing w:before="0" w:after="0"/>
              <w:ind w:left="0" w:right="0" w:hanging="0"/>
              <w:jc w:val="center"/>
              <w:rPr/>
            </w:pPr>
            <w:r>
              <w:rPr>
                <w:b/>
              </w:rPr>
              <w:t>Amount of Securities Previously Registered</w:t>
            </w:r>
            <w:r>
              <w:rPr/>
              <w:t xml:space="preserve"> </w:t>
            </w:r>
          </w:p>
        </w:tc>
        <w:tc>
          <w:tcPr>
            <w:tcW w:w="2597" w:type="dxa"/>
            <w:tcBorders/>
            <w:shd w:fill="9ADAF6" w:val="clear"/>
            <w:vAlign w:val="center"/>
          </w:tcPr>
          <w:p>
            <w:pPr>
              <w:pStyle w:val="TableHeading"/>
              <w:bidi w:val="0"/>
              <w:spacing w:before="0" w:after="0"/>
              <w:ind w:left="0" w:right="0" w:hanging="0"/>
              <w:jc w:val="center"/>
              <w:rPr/>
            </w:pPr>
            <w:r>
              <w:rPr>
                <w:b/>
              </w:rPr>
              <w:t>Maximum Aggregate Offering Price of Securities Previously Registered</w:t>
            </w:r>
            <w:r>
              <w:rPr/>
              <w:t xml:space="preserve"> </w:t>
            </w:r>
          </w:p>
        </w:tc>
        <w:tc>
          <w:tcPr>
            <w:tcW w:w="822" w:type="dxa"/>
            <w:tcBorders/>
            <w:shd w:fill="9ADAF6" w:val="clear"/>
            <w:vAlign w:val="center"/>
          </w:tcPr>
          <w:p>
            <w:pPr>
              <w:pStyle w:val="TableHeading"/>
              <w:bidi w:val="0"/>
              <w:spacing w:before="0" w:after="0"/>
              <w:ind w:left="0" w:right="0" w:hanging="0"/>
              <w:jc w:val="center"/>
              <w:rPr/>
            </w:pPr>
            <w:r>
              <w:rPr>
                <w:b/>
              </w:rPr>
              <w:t>Form Type</w:t>
            </w:r>
            <w:r>
              <w:rPr/>
              <w:t xml:space="preserve"> </w:t>
            </w:r>
          </w:p>
        </w:tc>
        <w:tc>
          <w:tcPr>
            <w:tcW w:w="1073" w:type="dxa"/>
            <w:tcBorders/>
            <w:shd w:fill="9ADAF6" w:val="clear"/>
            <w:vAlign w:val="center"/>
          </w:tcPr>
          <w:p>
            <w:pPr>
              <w:pStyle w:val="TableHeading"/>
              <w:bidi w:val="0"/>
              <w:spacing w:before="0" w:after="0"/>
              <w:ind w:left="0" w:right="0" w:hanging="0"/>
              <w:jc w:val="center"/>
              <w:rPr/>
            </w:pPr>
            <w:r>
              <w:rPr>
                <w:b/>
              </w:rPr>
              <w:t>File Number</w:t>
            </w:r>
            <w:r>
              <w:rPr/>
              <w:t xml:space="preserve"> </w:t>
            </w:r>
          </w:p>
        </w:tc>
        <w:tc>
          <w:tcPr>
            <w:tcW w:w="1328" w:type="dxa"/>
            <w:tcBorders/>
            <w:shd w:fill="9ADAF6" w:val="clear"/>
            <w:vAlign w:val="center"/>
          </w:tcPr>
          <w:p>
            <w:pPr>
              <w:pStyle w:val="TableHeading"/>
              <w:bidi w:val="0"/>
              <w:spacing w:before="0" w:after="0"/>
              <w:ind w:left="0" w:right="0" w:hanging="0"/>
              <w:jc w:val="center"/>
              <w:rPr/>
            </w:pPr>
            <w:r>
              <w:rPr>
                <w:b/>
              </w:rPr>
              <w:t>Initial Effective Date</w:t>
            </w:r>
            <w:r>
              <w:rPr/>
              <w:t xml:space="preserve"> </w:t>
            </w:r>
          </w:p>
        </w:tc>
      </w:tr>
      <w:tr>
        <w:trPr/>
        <w:tc>
          <w:tcPr>
            <w:tcW w:w="124" w:type="dxa"/>
            <w:tcBorders/>
            <w:shd w:fill="E7E7E2" w:val="clear"/>
            <w:vAlign w:val="center"/>
          </w:tcPr>
          <w:p>
            <w:pPr>
              <w:pStyle w:val="TableContents"/>
              <w:bidi w:val="0"/>
              <w:spacing w:before="0" w:after="283"/>
              <w:jc w:val="left"/>
              <w:rPr>
                <w:sz w:val="4"/>
                <w:szCs w:val="4"/>
              </w:rPr>
            </w:pPr>
            <w:r>
              <w:rPr>
                <w:sz w:val="4"/>
                <w:szCs w:val="4"/>
              </w:rPr>
            </w:r>
          </w:p>
        </w:tc>
        <w:tc>
          <w:tcPr>
            <w:tcW w:w="1092" w:type="dxa"/>
            <w:tcBorders/>
            <w:shd w:fill="E7E7E2" w:val="clear"/>
            <w:vAlign w:val="center"/>
          </w:tcPr>
          <w:p>
            <w:pPr>
              <w:pStyle w:val="TableContents"/>
              <w:bidi w:val="0"/>
              <w:spacing w:before="0" w:after="283"/>
              <w:jc w:val="left"/>
              <w:rPr>
                <w:sz w:val="4"/>
                <w:szCs w:val="4"/>
              </w:rPr>
            </w:pPr>
            <w:r>
              <w:rPr>
                <w:sz w:val="4"/>
                <w:szCs w:val="4"/>
              </w:rPr>
            </w:r>
          </w:p>
        </w:tc>
        <w:tc>
          <w:tcPr>
            <w:tcW w:w="1215" w:type="dxa"/>
            <w:tcBorders/>
            <w:shd w:fill="E7E7E2" w:val="clear"/>
            <w:vAlign w:val="center"/>
          </w:tcPr>
          <w:p>
            <w:pPr>
              <w:pStyle w:val="TableContents"/>
              <w:bidi w:val="0"/>
              <w:spacing w:before="0" w:after="283"/>
              <w:jc w:val="left"/>
              <w:rPr>
                <w:sz w:val="4"/>
                <w:szCs w:val="4"/>
              </w:rPr>
            </w:pPr>
            <w:r>
              <w:rPr>
                <w:sz w:val="4"/>
                <w:szCs w:val="4"/>
              </w:rPr>
            </w:r>
          </w:p>
        </w:tc>
        <w:tc>
          <w:tcPr>
            <w:tcW w:w="1954" w:type="dxa"/>
            <w:tcBorders/>
            <w:shd w:fill="E7E7E2" w:val="clear"/>
            <w:vAlign w:val="center"/>
          </w:tcPr>
          <w:p>
            <w:pPr>
              <w:pStyle w:val="TableContents"/>
              <w:bidi w:val="0"/>
              <w:spacing w:before="0" w:after="283"/>
              <w:jc w:val="left"/>
              <w:rPr>
                <w:sz w:val="4"/>
                <w:szCs w:val="4"/>
              </w:rPr>
            </w:pPr>
            <w:r>
              <w:rPr>
                <w:sz w:val="4"/>
                <w:szCs w:val="4"/>
              </w:rPr>
            </w:r>
          </w:p>
        </w:tc>
        <w:tc>
          <w:tcPr>
            <w:tcW w:w="2597" w:type="dxa"/>
            <w:tcBorders/>
            <w:shd w:fill="E7E7E2" w:val="clear"/>
            <w:vAlign w:val="center"/>
          </w:tcPr>
          <w:p>
            <w:pPr>
              <w:pStyle w:val="TableContents"/>
              <w:bidi w:val="0"/>
              <w:spacing w:before="0" w:after="283"/>
              <w:jc w:val="left"/>
              <w:rPr>
                <w:sz w:val="4"/>
                <w:szCs w:val="4"/>
              </w:rPr>
            </w:pPr>
            <w:r>
              <w:rPr>
                <w:sz w:val="4"/>
                <w:szCs w:val="4"/>
              </w:rPr>
            </w:r>
          </w:p>
        </w:tc>
        <w:tc>
          <w:tcPr>
            <w:tcW w:w="822" w:type="dxa"/>
            <w:tcBorders/>
            <w:shd w:fill="E7E7E2" w:val="clear"/>
            <w:vAlign w:val="center"/>
          </w:tcPr>
          <w:p>
            <w:pPr>
              <w:pStyle w:val="TableContents"/>
              <w:bidi w:val="0"/>
              <w:spacing w:before="0" w:after="283"/>
              <w:jc w:val="left"/>
              <w:rPr>
                <w:sz w:val="4"/>
                <w:szCs w:val="4"/>
              </w:rPr>
            </w:pPr>
            <w:r>
              <w:rPr>
                <w:sz w:val="4"/>
                <w:szCs w:val="4"/>
              </w:rPr>
            </w:r>
          </w:p>
        </w:tc>
        <w:tc>
          <w:tcPr>
            <w:tcW w:w="1073" w:type="dxa"/>
            <w:tcBorders/>
            <w:shd w:fill="E7E7E2" w:val="clear"/>
            <w:vAlign w:val="center"/>
          </w:tcPr>
          <w:p>
            <w:pPr>
              <w:pStyle w:val="TableContents"/>
              <w:bidi w:val="0"/>
              <w:spacing w:before="0" w:after="283"/>
              <w:jc w:val="left"/>
              <w:rPr>
                <w:sz w:val="4"/>
                <w:szCs w:val="4"/>
              </w:rPr>
            </w:pPr>
            <w:r>
              <w:rPr>
                <w:sz w:val="4"/>
                <w:szCs w:val="4"/>
              </w:rPr>
            </w:r>
          </w:p>
        </w:tc>
        <w:tc>
          <w:tcPr>
            <w:tcW w:w="1328" w:type="dxa"/>
            <w:tcBorders/>
            <w:shd w:fill="E7E7E2" w:val="cle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289340/000149315226009881/form10-k.htm" TargetMode="External"/><Relationship Id="rId4" Type="http://schemas.openxmlformats.org/officeDocument/2006/relationships/hyperlink" Target="https://www.sec.gov/Archives/edgar/data/1289340/000149315226015172/form10-ka.htm" TargetMode="External"/><Relationship Id="rId5" Type="http://schemas.openxmlformats.org/officeDocument/2006/relationships/hyperlink" Target="https://www.sec.gov/Archives/edgar/data/1289340/000149315226022697/form10-q.htm" TargetMode="External"/><Relationship Id="rId6" Type="http://schemas.openxmlformats.org/officeDocument/2006/relationships/hyperlink" Target="https://www.sec.gov/Archives/edgar/data/1289340/000149315226016685/form8-k.htm" TargetMode="External"/><Relationship Id="rId7" Type="http://schemas.openxmlformats.org/officeDocument/2006/relationships/hyperlink" Target="https://www.sec.gov/Archives/edgar/data/1289340/000149315226023654/form8-k.htm" TargetMode="External"/><Relationship Id="rId8" Type="http://schemas.openxmlformats.org/officeDocument/2006/relationships/hyperlink" Target="https://www.sec.gov/Archives/edgar/data/1289340/000149315226032598/form8-k.htm" TargetMode="External"/><Relationship Id="rId9" Type="http://schemas.openxmlformats.org/officeDocument/2006/relationships/hyperlink" Target="https://www.sec.gov/Archives/edgar/data/1289340/000149315226015027/formdef14a.htm" TargetMode="External"/><Relationship Id="rId10" Type="http://schemas.openxmlformats.org/officeDocument/2006/relationships/hyperlink" Target="https://www.sec.gov/Archives/edgar/data/1289340/000149315225010352/ex4-2.htm" TargetMode="External"/><Relationship Id="rId11" Type="http://schemas.openxmlformats.org/officeDocument/2006/relationships/hyperlink" Target="https://www.sec.gov/Archives/edgar/data/1289340/000119312504194896/dex31.htm" TargetMode="External"/><Relationship Id="rId12" Type="http://schemas.openxmlformats.org/officeDocument/2006/relationships/hyperlink" Target="https://www.sec.gov/Archives/edgar/data/1289340/000118143112040271/rrd350779_38055.htm" TargetMode="External"/><Relationship Id="rId13" Type="http://schemas.openxmlformats.org/officeDocument/2006/relationships/hyperlink" Target="https://www.sec.gov/Archives/edgar/data/1289340/000119312516725933/d315048dex31.htm" TargetMode="External"/><Relationship Id="rId14" Type="http://schemas.openxmlformats.org/officeDocument/2006/relationships/hyperlink" Target="https://www.sec.gov/Archives/edgar/data/1289340/000119312504194896/dex32.htm" TargetMode="External"/><Relationship Id="rId15" Type="http://schemas.openxmlformats.org/officeDocument/2006/relationships/hyperlink" Target="https://www.sec.gov/Archives/edgar/data/1289340/000095013704005849/c84511a6exv4w1.txt" TargetMode="External"/><Relationship Id="rId16" Type="http://schemas.openxmlformats.org/officeDocument/2006/relationships/hyperlink" Target="https://www.sec.gov/Archives/edgar/data/1289340/000149315225010352/ex4-2.htm" TargetMode="External"/><Relationship Id="rId17" Type="http://schemas.openxmlformats.org/officeDocument/2006/relationships/image" Target="media/image2.jpeg"/><Relationship Id="rId18" Type="http://schemas.openxmlformats.org/officeDocument/2006/relationships/fontTable" Target="fontTable.xml"/><Relationship Id="rId1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23</Pages>
  <Words>86390</Words>
  <Characters>469804</Characters>
  <CharactersWithSpaces>556995</CharactersWithSpaces>
  <Paragraphs>5996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