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4"/>
        </w:rPr>
      </w:pPr>
      <w:r>
        <w:rPr>
          <w:rFonts w:ascii="Times New Roman;Times;Serif" w:hAnsi="Times New Roman;Times;Serif"/>
          <w:b/>
          <w:i w:val="false"/>
          <w:caps/>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7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0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STEREOTAXIS,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715"/>
            <w:bookmarkEnd w:id="6"/>
            <w:r>
              <w:rPr>
                <w:rFonts w:ascii="Times New Roman;Times;Serif" w:hAnsi="Times New Roman;Times;Serif"/>
                <w:b/>
                <w:i w:val="false"/>
                <w:caps w:val="false"/>
                <w:smallCaps w:val="false"/>
                <w:sz w:val="20"/>
              </w:rPr>
              <w:t>001-36159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94-3120386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5030"/>
        <w:gridCol w:w="60"/>
        <w:gridCol w:w="920"/>
      </w:tblGrid>
      <w:tr>
        <w:trPr/>
        <w:tc>
          <w:tcPr>
            <w:tcW w:w="5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710 North Tucker Boulevard, </w:t>
            </w:r>
            <w:bookmarkStart w:id="9" w:name="xdx_908_edei--EntityAddressAddressLine2_"/>
            <w:bookmarkEnd w:id="9"/>
            <w:r>
              <w:rPr>
                <w:rFonts w:ascii="Times New Roman;Times;Serif" w:hAnsi="Times New Roman;Times;Serif"/>
                <w:b/>
                <w:i w:val="false"/>
                <w:caps w:val="false"/>
                <w:smallCaps w:val="false"/>
                <w:sz w:val="20"/>
              </w:rPr>
              <w:t xml:space="preserve">Suite 110, </w:t>
            </w:r>
            <w:bookmarkStart w:id="10" w:name="xdx_903_edei--EntityAddressCityOrTown_c2"/>
            <w:bookmarkEnd w:id="10"/>
            <w:r>
              <w:rPr>
                <w:rFonts w:ascii="Times New Roman;Times;Serif" w:hAnsi="Times New Roman;Times;Serif"/>
                <w:b/>
                <w:i w:val="false"/>
                <w:caps w:val="false"/>
                <w:smallCaps w:val="false"/>
                <w:sz w:val="20"/>
              </w:rPr>
              <w:t xml:space="preserve">St. Louis, </w:t>
            </w:r>
            <w:bookmarkStart w:id="11" w:name="xdx_900_edei--EntityAddressStateOrProvin"/>
            <w:bookmarkEnd w:id="11"/>
            <w:r>
              <w:rPr>
                <w:rFonts w:ascii="Times New Roman;Times;Serif" w:hAnsi="Times New Roman;Times;Serif"/>
                <w:b/>
                <w:i w:val="false"/>
                <w:caps w:val="false"/>
                <w:smallCaps w:val="false"/>
                <w:sz w:val="20"/>
              </w:rPr>
              <w:t>Missouri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63101</w:t>
            </w:r>
          </w:p>
        </w:tc>
      </w:tr>
      <w:tr>
        <w:trPr/>
        <w:tc>
          <w:tcPr>
            <w:tcW w:w="5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B_edei--CityAreaCode_c20260715__20"/>
      <w:bookmarkEnd w:id="13"/>
      <w:r>
        <w:rPr>
          <w:rFonts w:ascii="Times New Roman;Times;Serif" w:hAnsi="Times New Roman;Times;Serif"/>
          <w:b/>
          <w:i w:val="false"/>
          <w:caps w:val="false"/>
          <w:smallCaps w:val="false"/>
          <w:sz w:val="20"/>
        </w:rPr>
        <w:t xml:space="preserve">(314) </w:t>
      </w:r>
      <w:bookmarkStart w:id="14" w:name="xdx_90C_edei--LocalPhoneNumber_c20260715"/>
      <w:bookmarkEnd w:id="14"/>
      <w:r>
        <w:rPr>
          <w:rFonts w:ascii="Times New Roman;Times;Serif" w:hAnsi="Times New Roman;Times;Serif"/>
          <w:b/>
          <w:i w:val="false"/>
          <w:caps w:val="false"/>
          <w:smallCaps w:val="false"/>
          <w:sz w:val="20"/>
        </w:rPr>
        <w:t>678-6100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2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2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12bTitle_c20260715"/>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TradingSymbol_c20260715__2"/>
            <w:bookmarkEnd w:id="21"/>
            <w:r>
              <w:rPr>
                <w:rFonts w:ascii="Times New Roman;Times;Serif" w:hAnsi="Times New Roman;Times;Serif"/>
                <w:b w:val="false"/>
                <w:i w:val="false"/>
                <w:caps w:val="false"/>
                <w:smallCaps w:val="false"/>
                <w:sz w:val="20"/>
              </w:rPr>
              <w:t>STXS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ExchangeName_c2026"/>
            <w:bookmarkEnd w:id="22"/>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Robocath and Related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7, 2026, Stereotaxis, Inc. (the “Company”) completed its acquisition (the “Acquisition”) of shares and other securities collectively representing 100% of the share capital and voting power of Robocath, a French société par actions simplifiée, pursuant to that certain Share Sale Agreement, dated as of April 14, 2026, by and among the Company, Robocath, the shareholders of Robocath and an individual serving as manager.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herein (i) certain risk factors relating to the Acquisition included in the Company’s Registration Statement on Form S-3, filed with the U.S. Securities and Exchange Commission (the “SEC”) on July 15, 2026, which are included as Exhibit 99.1 hereto (the “Supplemental Risk Factors”) and (ii) the agreements filed as exhibits thereto: the Share Sale Agreement, the Joinder Agreement thereto, the Form of Purchaser Warrant and the Resale Organization Agreement, filed as Exhibits 2.1, 2.2, 4.1 and 10.1 hereto, respectively. The Supplemental Risk Factors and incorporated agreements supplement the risk factor and other disclosures contained in the Company’s periodic reports filed with the SEC pursuant to the Securities Exchange Act of 1934, as amended, including in the Company’s Annual Report on Form 10-K for the fiscal year ended December 31, 2025, filed with the SEC on March 12, 2026, as amended by the Company’s Annual Report on Form 10-K/A for the fiscal year ended December 31, 2025, filed with the SEC on April 3, 2026, as revised or supplemented by the Company’s Quarterly Report on Form 10-Q for the fiscal quarter ended March 31, 2026, filed with the SEC on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
        <w:gridCol w:w="60"/>
        <w:gridCol w:w="9716"/>
      </w:tblGrid>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 xml:space="preserve">Share Sale Agreement, dated as of April 14, 2026, by and among the Company, Robocath, the securityholders of Robocath party thereto, and Philippe Bencteux, as Manager, incorporated by reference to the Registration Statement on Form S-3 filed with the SEC on July 15, 2026, at Exhibit 2.1. </w:t>
              </w:r>
            </w:hyperlink>
          </w:p>
        </w:tc>
      </w:tr>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Joinder Agreement, dated as of July 7, 2026, by and among European Investment Bank, the Registrant, Philippe Bencteux and Supernova Invest, relating to the Share Sale Agreement dated as of April 14, 2026, incorporated by reference to the Registration Statement on Form S-3 filed with the SEC on July 15, 2026, at Exhibit 2.2.</w:t>
              </w:r>
            </w:hyperlink>
          </w:p>
        </w:tc>
      </w:tr>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Purchaser Warrant, incorporated by reference to the Registration Statement on Form S-3 filed with the SEC on July 15, 2026, at Exhibit 4.3.</w:t>
              </w:r>
            </w:hyperlink>
          </w:p>
        </w:tc>
      </w:tr>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Resale Organization Agreement, dated as of July 7, 2026, by and among the Company and the securityholders of Robocath party thereto, incorporated by reference to the Registration Statement on Form S-3 filed with the SEC on July 15, 2026, at Exhibit 10.1.</w:t>
              </w:r>
            </w:hyperlink>
          </w:p>
        </w:tc>
      </w:tr>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Supplemental Risk Factors.</w:t>
              </w:r>
            </w:hyperlink>
          </w:p>
        </w:tc>
      </w:tr>
      <w:tr>
        <w:trPr/>
        <w:tc>
          <w:tcPr>
            <w:tcW w:w="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r>
        <w:trPr/>
        <w:tc>
          <w:tcPr>
            <w:tcW w:w="42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excludes certain schedules and exhibits pursuant to Item 601(a)(5) of Regulation S-K, which the Company agrees to furnish supplementally to the Securities and Exchange Commission upon request; provided, however, that the Company may request confidential treatment for any schedules or exhibits so furnished.</w:t>
            </w:r>
          </w:p>
        </w:tc>
      </w:tr>
      <w:tr>
        <w:trPr/>
        <w:tc>
          <w:tcPr>
            <w:tcW w:w="429"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7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601(b)(2)(ii) of the Securities Exchange Act of 1934, as amended, certain confidential portions of this exhibit have been redacted from the publicly filed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(including the Supplemental Risk Factors incorporated herein) includes statements that may constitute “forward-looking” statements, usually containing the words “believe”, “estimate”, “project”, “expect” or similar expressions. These forward-looking statements include without limitation statements regarding the recently completed acquisition of Robocath, the anticipated financial performance of Stereotaxis and Robocath related thereto, including the anticipated benefits expected from the acquisition, the potential strategic implications as a result of the acquisition, and the potential for achievement of the regulatory and commercial milestones that would trigger contingent payments in the transaction. Forward-looking statements inherently involve risks and uncertainties that could cause actual results to differ materially. Factors that would cause or contribute to such differences include, but are not limited to, uncertainties involving the following: the ability of Stereotaxis to successfully integrate Robocath’s operations, and continue the commercialization, development and sales of Robocath’s products and services, and disruption of Robocath’s or Stereotaxis’s current plans and operations as a result thereof; the ability of Robocath or Stereotaxis to retain and hire key personnel; competitive responses to the proposed transaction; unexpected costs, charges or expenses resulting from the proposed transaction; the ability of Stereotaxis to implement its plans, forecasts and other expectations with respect to Robocath’s business following the completion of the transaction and realize additional opportunities for growth and innovation; the ability of Stereotaxis to realize the anticipated benefits from the transaction in the anticipated amounts or within the anticipated timeframes or at all; the ability to maintain relationships with Stereotaxis’s and Robocath’s respective employees, customers, other business partners and governmental authorities; and the other risks discussed in the Company’s periodic and other filings with the Securities and Exchange Commission. By making these forward-looking statements, the Company undertakes no obligation to update these statements for revisions or changes after the date of this release. Additional information will also be set forth in future filings that we make with the SEC from time to time. All forward-looking statements in this Current Report (including the Supplemental Risk Factors incorporated herein) are based on information available to us as of the date hereof, and we do not assume any obligation to update the forward-looking statements provided to reflect events that occur or circumstances that exist after the date on which they were made.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625"/>
        <w:gridCol w:w="545"/>
        <w:gridCol w:w="1895"/>
      </w:tblGrid>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Peery</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Peery</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Recently Completed Acquisition of Robocath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integrate Robocath into our business and may fail to realize any or all of the anticipated benefits of the acquisition, or those benefits may take longer to realize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acquisition of Robocath, both companies previously operated independently and manufactured different products. The success of the acquisition will depend, in part, on our ability to (i) successfully integrate Robocath’s businesses into Stereotaxis, (ii) successfully manufacture, commercialize, develop and sell Robocath’s robotic systems and next-generation interventional medical devices and related products, and (iii) realize the anticipated benefits, including synergies, cost savings, growth and innovation opportunities and operational efficiencies, from the Acquisition, all in a manner that does not materially disrupt existing customer, supplier and employee relations. If we are unable to achieve these objectives within the anticipated time frame, or at all, the anticipated benefits may not be realized fully or at all, or may take longer to realize than expected, and the value of our common stock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Robocath into our business may result in material challenges,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ongoing business concerns relating to our historical business and any resulting disruption to our current plans 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more complex combined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operations to manufacture Robocath’s robotic systems and associated disposable products and overcoming our lack of manufacturing experience related to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employee morale, retaining key Robocath employees and the possibility that the integration process and organizational changes may adversely impact the ability to maintain employee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and maintaining business and operational relationships of Robocath, including suppliers, collaboration partners, employees and other counterparties;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retaining Robocath’s existing customers, including managing existing contracts with and any disputes with such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process not proceeding as expected, including due to a possibility of faulty assumptions or expectations regarding the integration process or Robocath’s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disputes, investigations or other events that could increase our expenses, result in liability or require that we take other 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corporate, administrative and compliance infrastructures and eliminating duplicative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and logistical challenges associated with coordinating activities and maintaining consistent operational standards across widely-different locations, separated by both geography and time zones;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integrating information technology, communications and other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expenses, costs, liabilities or delays associated with the Acquisition or the integration;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diverse and unfamiliar foreign laws or regulatory requirements, or unexpected changes to those laws or requirements, including healthcare-specific regulatory regimes applicable to Robocath’s business in France and other jurisdictions, including managing relationships with our regulators or other governmental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and monitoring of compliance with other laws and regulatory requirements to which our business activities abroad are currently subject, such as the U.S. Foreign Corrupt Practices Act and anti-corruption laws, and similar laws with a significant anti-corruption intent in France and other foreign countries, in which we and Robocath operate;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and price controls applicable to medical devices in foreign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any competitive responses to the Acquisition;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French corporate law applicable to Robocath, with which we are not familiar;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the conduct of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outside of our control, and any one of them could result in delays, increased costs, decreases in the amount of expected cost savings or synergies and diversion of management’s time and energy, which could materially affect our financial position,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Robocath acquisition will not be accretive to us and will increase our operating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consider the acquisition of Robocath as complementary to our existing business, Robocath has sustained historical operating losses, and we expect that it will continue to incur operating losses and negative cash flows in the coming few years. We may be required to fund Robocath’s ongoing operations for the foreseeable future. For example, we extended operating loans to Robocath of $1.1 million between signing of the Share Sale Agreement and the acquisition closing, which loans were repaid at closing and reduced the amount of the Upfront Stock Consideration we paid to Robocath’s equityholders. Accordingly, the Robocath acquisition will not be accretive to us and will increase our operating losses and negatively impact our results of operations on a consolidated basis in the near term. While we have plans to improve Robocath’s operating results primarily through leveraging our commercial organization to grow revenue of their next-generation system, we may not be successful in doing so in the near term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may be adversely impacted if we do not effectively manage Robocath’s robotic systems and disposable products business following the completion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we will be managing Robocath’s ongoing business of manufacturing, commercializing, developing and selling robotic systems and associated disposable products and services. The manufacturing and development process of such robotic systems and disposable products is complex, highly technical, and our prior experience in this field is dated. The process can be subject to periodic worldwide supply chain disruptions, including labor shortages and inflationary pressures,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Robocath into us, but also the increased scope of the combined business with its associated increased costs and complexity. There can be no assurances that we will be successful in manufacturing and commercializing Robocath’s robotic systems and disposable products or that we will realize the expected operating efficiencies, cost savings and other benefits anticipated from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earnout consideration using Earnout Shares will result in dilution to our stockholders and may adversely affect us, including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of Robocath on July 7, 2026, we issued 6,269,628 shares of our common stock as Closing Shares (including shares of common stock issuable upon exercise of Purchaser Warrants issued to certain of the Selling Stockholders in lieu of Closing Shares and 225,000 shares of common stock issued to Robocath’s financial advisor as partial payment of a success fee for acquisition advisory services rendered to Robocath and its securityholders in connection with the Acquisition). In addition, the Share Sale Agreement requires us to pay up to $25 million of additional earnout consideration to the Selling Stockholders upon achievement of the Regulatory Milestone and/or the Commercial Milestones, which we may pay in cash, by issuing Earnout Shares (including shares of common stock issuable upon exercise of Purchaser Warrants issued to certain of the Selling Stockholders in lieu of Earnout Shares), or in a combination of cash and Earnout Shares (or Purchaser Warrants), at our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Sale Agreement obligated us to file a resale registration statement (of which this prospectus is a part) relating to the 6,269,628 Closing Shares and to Earnout Shares that may be issuable pursuant to the earnout provisions in the Share Sale Agreement. We have elected to register </w:t>
      </w:r>
      <w:r>
        <w:rPr>
          <w:rFonts w:ascii="Times New Roman;Times;Serif" w:hAnsi="Times New Roman;Times;Serif"/>
          <w:b w:val="false"/>
          <w:i w:val="false"/>
          <w:caps w:val="false"/>
          <w:smallCaps w:val="false"/>
          <w:sz w:val="20"/>
          <w:shd w:fill="FFFFFF" w:val="clear"/>
        </w:rPr>
        <w:t xml:space="preserve">13,179,975 of such </w:t>
      </w:r>
      <w:r>
        <w:rPr>
          <w:rFonts w:ascii="Times New Roman;Times;Serif" w:hAnsi="Times New Roman;Times;Serif"/>
          <w:b w:val="false"/>
          <w:i w:val="false"/>
          <w:caps w:val="false"/>
          <w:smallCaps w:val="false"/>
          <w:sz w:val="20"/>
        </w:rPr>
        <w:t>Earnout Shares;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 The Share Sale Agreement provides for a cap on the number of Earnout Shares, when combined with the Closing Shares, of 19.9% of the total number of shares of our common stock issued and outstanding as of July 7, 2026, which is approximately the number of Earnout Shares covered by this prospectus.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if the Regulatory and/or Commercial Milestones are achieved, we could elect to issue all of the </w:t>
      </w:r>
      <w:r>
        <w:rPr>
          <w:rFonts w:ascii="Times New Roman;Times;Serif" w:hAnsi="Times New Roman;Times;Serif"/>
          <w:b w:val="false"/>
          <w:i w:val="false"/>
          <w:caps w:val="false"/>
          <w:smallCaps w:val="false"/>
          <w:sz w:val="20"/>
          <w:shd w:fill="FFFFFF" w:val="clear"/>
        </w:rPr>
        <w:t xml:space="preserve">Earnout Shares in addition </w:t>
      </w:r>
      <w:r>
        <w:rPr>
          <w:rFonts w:ascii="Times New Roman;Times;Serif" w:hAnsi="Times New Roman;Times;Serif"/>
          <w:b w:val="false"/>
          <w:i w:val="false"/>
          <w:caps w:val="false"/>
          <w:smallCaps w:val="false"/>
          <w:sz w:val="20"/>
        </w:rPr>
        <w:t>to the Closing Shares we issued at the closing of the Acquisition, which would cause significant additional dilution to the Company’s stockholders. Moreover, even if we are not required to issue any Earnout Shares, the potential for the issuance of such shares may negatively affect the trading price of our common stock in anticipation of such potential dilution. Sales of a substantial number of shares comprising the Closing Shares or any Earnout Shares in the public market, or the perception that such sales may occur, could adversely affect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certain circumstances, we may take certain actions to achieve the milestones under the Share Sale Agreement that we would not have undertaken if we had not completed the acquisition, which may have an adverse effect on the historical business of Stereotaxis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during the earnout periods under our Share Sale Agreement, which include a regulatory milestone period ending on December 31, 2033 and two commercial milestone periods ending on December 31, 2035 and December 31, 2037, respectively, we agreed to use commercially reasonable efforts (as defined in the Share Sale Agreement) to complete the development of Robocath’s next-generation R-Two Products, including product development, manufacturing, and clinical and regulatory efforts to obtain FDA regulatory approval and regulatory authorization in Europe, and, subject to obtaining such authorizations, to commercialize the R-Two Products in the applicable territories. We also agreed to use commercially reasonable efforts to retain Robocath employees, on an employment or consulting basis, necessary to achieve the regulatory and commercial milestones and to ensure such individuals have adequate means, resources and support to perform their duties effectively.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retain the sole authority to operate and control Robocath’s business and its operations, including without limitation, any and all decisions relating to various aspects of the combined business, we may nevertheless take certain actions related to the milestones that we would not have undertaken if we had not completed the acquisition.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Robocath has historically been a private company that prepared its financial statements in accordance with French GAAP and was not subject to SEC reporting obligations, and we may encounter significant difficulties in integrating Robocath’s financial reporting and internal controls with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acquisition, Robocath was not required to maintain the financial reporting processes, internal controls over financial reporting, or public company governance practices that are required of U.S. public companies. Developing and managing these processes at Robocath, including the preparation of timely and accurate financial information for inclusion in our SEC filings and the implementation of internal controls, procedures, and policies appropriate for a U.S.-based public company, will require significant management attention, resources and expenditures. In addition, Robocath has historically prepared its financial statements in accordance with French generally accepted accounting principles, which differ in significant respects from U.S. GAAP. The conversion of Robocath’s historical financial data and ongoing accounting practices to U.S. GAAP may present substantial challenges, and we may encounter difficulties in identifying and correcting deficiencies in Robocath’s internal controls over financial reporting that arise from these differences in accounting standards and practices. Any failure to successfully convert Robocath’s financial data and accounting practices to U.S. GAAP, or to establish and maintain adequate financial reporting processes and internal controls at Robocath, could result in material weaknesses or significant deficiencies in our internal controls over financial reporting, errors or delays in our consolidated financial reporting, restatements of our consolidated financial statements, additional audit costs, regulatory scrutiny, or increased legal or financial risk, any of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French labor and employment laws applicable to Robocath’s employees may increase our operational costs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employees of our subsidiary, Robocath, are employed outside the United States, including in France, where labor and employment laws are relatively stringent and, in many cases, grant significant job protection to certain employees, including rights upon termination of employment. In addition, Robocath’s employees may be members of unions or represented by a works council as required by applicable French law, and we may be required to consult with such unions or works councils in connection with certain operational decisions. These more stringent labor and employment laws, to the extent that they are applicable, coupled with any requirement to consult with the relevant unions or works councils, could increase our operational costs with respect to our employees at Robocath. If such increased operational costs become significant, our business, financial condition, and results of operations could be adversely affected, perhaps materially.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tax risks and uncertainties in connection with Robocath’s operations, including challenges relating to transfer pricing, withholding taxes, and local tax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Robocath’s operations are subject to French corporate income tax, local business taxes and various other French and EU taxes. Following the acquisition, intercompany transactions between Robocath and our US operations may be subject to complex transfer pricing rules, which require that such transactions be conducted at arm’s length. In addition, dividends, interest, and other payments to us by Robocath may be subject to French withholding taxes, potentially subject to reduction under the US-France tax treaty. Our limited experience with French tax compliance and intercompany pricing increases the risk of disputes, adjustments, or penalties that could adversely affect our financial results.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340/000149315226033396/ex2-1.htm" TargetMode="External"/><Relationship Id="rId3" Type="http://schemas.openxmlformats.org/officeDocument/2006/relationships/hyperlink" Target="https://www.sec.gov/Archives/edgar/data/1289340/000149315226033396/ex2-2.htm" TargetMode="External"/><Relationship Id="rId4" Type="http://schemas.openxmlformats.org/officeDocument/2006/relationships/hyperlink" Target="https://www.sec.gov/Archives/edgar/data/1289340/000149315226033396/ex4-3.htm" TargetMode="External"/><Relationship Id="rId5" Type="http://schemas.openxmlformats.org/officeDocument/2006/relationships/hyperlink" Target="https://www.sec.gov/Archives/edgar/data/1289340/000149315226033396/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3633</Words>
  <Characters>21041</Characters>
  <CharactersWithSpaces>24671</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