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Fischel Nathan</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Stereotaxis,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STXS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STEREOTAXIS, INC.</w:t>
            </w:r>
          </w:p>
        </w:tc>
        <w:tc>
          <w:tcPr>
            <w:tcW w:w="146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710 NORTH TUCKER BOULEVARD; SUITE 110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63101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43,103</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720,775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0000FF"/>
              </w:rPr>
              <w:t>13,680,554</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#2</w:t>
            </w:r>
            <w:r>
              <w:rPr>
                <w:rFonts w:ascii="Times New Roman" w:cs="Times New Roman" w:eastAsia="Times New Roman" w:hAnsi="Times New Roman"/>
                <w:sz w:val="11"/>
                <w:szCs w:val="11"/>
                <w:color w:val="008000"/>
              </w:rPr>
              <w:t>(2)</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share units. Each restricted share unit represents a right to receive one share of common stock. The restricted share units vest on the earliest to occur of (i) the fifth anniversary of the date of the award, (ii) the date on which the service of the director on the board of directors terminates, or (iii) a Change of Control (as defined in the award documents).</w:t>
      </w:r>
    </w:p>
    <w:p>
      <w:pPr>
        <w:spacing w:after="0" w:line="7" w:lineRule="exact"/>
        <w:rPr>
          <w:rFonts w:ascii="Times New Roman" w:cs="Times New Roman" w:eastAsia="Times New Roman" w:hAnsi="Times New Roman"/>
          <w:sz w:val="13"/>
          <w:szCs w:val="13"/>
          <w:color w:val="008000"/>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funds of which DAFNA Capital Management LLC, a Delaware Limited Liability Company, is the investment manager and general partner. Dr. Fischel is the Chief Executive Officer of DAFNA Capital Management, LLC.</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Kimberly R. Peery,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9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 Fact for Nathan</w:t>
        <w:tab/>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Fischel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89932" TargetMode="External"/><Relationship Id="rId14" Type="http://schemas.openxmlformats.org/officeDocument/2006/relationships/hyperlink" Target="http://www.sec.gov/cgi-bin/browse-edgar?action=getcompany&amp;CIK=00012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2026-07-01T15:01:23Z</dcterms:created>
  <dcterms:modified xsi:type="dcterms:W3CDTF">2026-07-01T15:01:23Z</dcterms:modified>
</cp:coreProperties>
</file>