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4"/>
        </w:rPr>
      </w:pPr>
      <w:r>
        <w:rPr>
          <w:rFonts w:ascii="Times New Roman;Times;Serif" w:hAnsi="Times New Roman;Times;Serif"/>
          <w:b/>
          <w:i w:val="false"/>
          <w:caps/>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STEREOTAXIS, INC.</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811"/>
            <w:bookmarkEnd w:id="6"/>
            <w:r>
              <w:rPr>
                <w:rFonts w:ascii="Times New Roman;Times;Serif" w:hAnsi="Times New Roman;Times;Serif"/>
                <w:b/>
                <w:i w:val="false"/>
                <w:caps w:val="false"/>
                <w:smallCaps w:val="false"/>
                <w:sz w:val="20"/>
              </w:rPr>
              <w:t>001-36159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94-3120386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28" w:type="dxa"/>
          <w:right w:w="0" w:type="dxa"/>
        </w:tblCellMar>
      </w:tblPr>
      <w:tblGrid>
        <w:gridCol w:w="5030"/>
        <w:gridCol w:w="60"/>
        <w:gridCol w:w="920"/>
      </w:tblGrid>
      <w:tr>
        <w:trPr/>
        <w:tc>
          <w:tcPr>
            <w:tcW w:w="5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710 North Tucker Boulevard, </w:t>
            </w:r>
            <w:bookmarkStart w:id="9" w:name="xdx_900_edei--EntityAddressAddressLine2_"/>
            <w:bookmarkEnd w:id="9"/>
            <w:r>
              <w:rPr>
                <w:rFonts w:ascii="Times New Roman;Times;Serif" w:hAnsi="Times New Roman;Times;Serif"/>
                <w:b/>
                <w:i w:val="false"/>
                <w:caps w:val="false"/>
                <w:smallCaps w:val="false"/>
                <w:sz w:val="20"/>
              </w:rPr>
              <w:t xml:space="preserve">Suite 110, </w:t>
            </w:r>
            <w:bookmarkStart w:id="10" w:name="xdx_903_edei--EntityAddressCityOrTown_c2"/>
            <w:bookmarkEnd w:id="10"/>
            <w:r>
              <w:rPr>
                <w:rFonts w:ascii="Times New Roman;Times;Serif" w:hAnsi="Times New Roman;Times;Serif"/>
                <w:b/>
                <w:i w:val="false"/>
                <w:caps w:val="false"/>
                <w:smallCaps w:val="false"/>
                <w:sz w:val="20"/>
              </w:rPr>
              <w:t xml:space="preserve">St. Louis, </w:t>
            </w:r>
            <w:bookmarkStart w:id="11" w:name="xdx_905_edei--EntityAddressStateOrProvin"/>
            <w:bookmarkEnd w:id="11"/>
            <w:r>
              <w:rPr>
                <w:rFonts w:ascii="Times New Roman;Times;Serif" w:hAnsi="Times New Roman;Times;Serif"/>
                <w:b/>
                <w:i w:val="false"/>
                <w:caps w:val="false"/>
                <w:smallCaps w:val="false"/>
                <w:sz w:val="20"/>
              </w:rPr>
              <w:t>Missouri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63101</w:t>
            </w:r>
          </w:p>
        </w:tc>
      </w:tr>
      <w:tr>
        <w:trPr/>
        <w:tc>
          <w:tcPr>
            <w:tcW w:w="5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7_edei--CityAreaCode_c20260811__20"/>
      <w:bookmarkEnd w:id="13"/>
      <w:r>
        <w:rPr>
          <w:rFonts w:ascii="Times New Roman;Times;Serif" w:hAnsi="Times New Roman;Times;Serif"/>
          <w:b/>
          <w:i w:val="false"/>
          <w:caps w:val="false"/>
          <w:smallCaps w:val="false"/>
          <w:sz w:val="20"/>
        </w:rPr>
        <w:t xml:space="preserve">(314) </w:t>
      </w:r>
      <w:bookmarkStart w:id="14" w:name="xdx_909_edei--LocalPhoneNumber_c20260811"/>
      <w:bookmarkEnd w:id="14"/>
      <w:r>
        <w:rPr>
          <w:rFonts w:ascii="Times New Roman;Times;Serif" w:hAnsi="Times New Roman;Times;Serif"/>
          <w:b/>
          <w:i w:val="false"/>
          <w:caps w:val="false"/>
          <w:smallCaps w:val="false"/>
          <w:sz w:val="20"/>
        </w:rPr>
        <w:t>678-6100</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B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D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5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C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Security12bTitle_c20260811"/>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TradingSymbol_c20260811__2"/>
            <w:bookmarkEnd w:id="21"/>
            <w:r>
              <w:rPr>
                <w:rFonts w:ascii="Times New Roman;Times;Serif" w:hAnsi="Times New Roman;Times;Serif"/>
                <w:b w:val="false"/>
                <w:i w:val="false"/>
                <w:caps w:val="false"/>
                <w:smallCaps w:val="false"/>
                <w:sz w:val="20"/>
              </w:rPr>
              <w:t>STXS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SecurityExchangeName_c2026"/>
            <w:bookmarkEnd w:id="22"/>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830"/>
        <w:gridCol w:w="3935"/>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Stereotaxis, Inc. (the “Company”) issued a press release (the “Earnings Press Release”) setting forth its financial results for the 2026 second quarter. A copy of the Earnings Press Release is being filed as Exhibit 99.1 hereto, and the statements contained therein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Forward-Looking Statements and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are made herein or incorporated herein that are “forward-looking statements” as defined by the Securities and Exchange Commission (the “SEC”). All statements, other than statements of historical fact, included or incorporated herein that address activities, events or developments that the Company expects, believes or anticipates will or may occur in the future are forward-looking statements. These statements are not guarantees of future events or the Company’s future performance and are subject to risks, uncertainties and other important factors that could cause events or the Company’s actual performance or achievements to be materially different than those projected by the Company. For a full discussion of these risks, uncertainties and factors, the Company encourages you to read its documents on file with the SEC. Except as required by law, the Company does not intend to update or revise its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contained in Item 2.02 and Exhibit 99.1 attached hereto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395"/>
        <w:gridCol w:w="5150"/>
      </w:tblGrid>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5150"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Stereotaxis, Inc. Earnings Press Release dated August 11,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350"/>
        <w:gridCol w:w="6485"/>
      </w:tblGrid>
      <w:tr>
        <w:trPr/>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Kimberly R. Peery</w:t>
            </w:r>
            <w:r>
              <w:rPr>
                <w:rFonts w:ascii="Times New Roman;Times;Serif" w:hAnsi="Times New Roman;Times;Serif"/>
                <w:b w:val="false"/>
                <w:i w:val="false"/>
                <w:caps w:val="false"/>
                <w:smallCaps w:val="false"/>
                <w:sz w:val="20"/>
              </w:rPr>
              <w:t xml:space="preserve">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097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Reports 2026 Second Quarter Financial Results &amp; Business Updates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Robotic catheter revenue surpasses $1M in the quarter, growing 270% sequentially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GenesisX robotic system purchase by US hospital to be installed this fall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Synchrony digital operating room systems sold and installed following FDA clearance in April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previously announced acquisition of Robocath, strengthening robotic technology leadership across the full spectrum of endovascular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 Louis, MO, August 11, 2026 (Globe Newswire) – </w:t>
      </w:r>
      <w:r>
        <w:rPr>
          <w:rFonts w:ascii="Times New Roman;Times;Serif" w:hAnsi="Times New Roman;Times;Serif"/>
          <w:b w:val="false"/>
          <w:i w:val="false"/>
          <w:caps w:val="false"/>
          <w:smallCaps w:val="false"/>
          <w:sz w:val="20"/>
          <w:u w:val="single"/>
        </w:rPr>
        <w:t>Stereotaxis</w:t>
      </w:r>
      <w:r>
        <w:rPr>
          <w:rFonts w:ascii="Times New Roman;Times;Serif" w:hAnsi="Times New Roman;Times;Serif"/>
          <w:b w:val="false"/>
          <w:i w:val="false"/>
          <w:caps w:val="false"/>
          <w:smallCaps w:val="false"/>
          <w:sz w:val="20"/>
        </w:rPr>
        <w:t xml:space="preserve"> (NYSE: STXS), a pioneer and global leader in surgical robotics for minimally invasive endovascular intervention, today reported business updates and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Stereotaxis has reached an important commercial inflection point. Following years of product development and regulatory milestones, the Company’s expanded robotic platform is now generating accelerating commercial adoption across multiple product lines,” said David Fischel, Stereotaxis Chairman and CEO. “Over the last several years we advanced an exciting ecosystem of robotic, catheter and digital innovations through development and regulatory milestones. We are now witnessing the initial green shoots of commercial success, including quarterly revenue from our novel robotic catheters exceeding one million dollars, the first Synchrony system sales, and the first US purchase of a GenesisX 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making methodical progress on the operational and commercial efforts needed to drive revenue growth. We expect continued momentum throughout this year as we ramp manufacturing and address commercial friction. We have line of sight to sustained revenue growth and reaching cash flow profitability in the coming 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parallel to our commercial efforts, we continue to invest in a broad pipeline of innovations that expand our technology into a platform across endovascular surgery, enhances our competitiveness in electrophysiology, and delivers digital connectivity, automation and intelligence to the operating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Second Quarter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second quarter of 2026 totaled $7.7 million. System revenue of $1.5 million declined from $3.0 million in the prior year second quarter, with the lack of a robotic system delivery in the quarter partially countered by initial Synchrony sales. Recurring revenue of $6.2 million increased from $5.8 million in the prior year second quarter, reflecting contributions from Stereotaxis’ new robotic catheters counteracting general procedural pressure from limited catheter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second quarter of 2026 was 58% of revenue. Recurring revenue gross margin was 66%, and system gross margin was 29%. Operating expenses in the quarter of $9.1 million included $2.5 million in non-cash charges for stock compensation expense, mark-to-market adjustment for acquisition related contingent earnout consideration, and amortization of acquired intangible assets. Excluding these non-cash charges, adjusted operating expenses were $6.6 million, consistent with the year-ago period when adjusting for a one-time employee retention tax credit received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and net loss in the second quarter of 2026 were ($4.6) million and ($4.5) million, respectively, compared with ($4.0) million and ($3.8) million in the previous year. Adjusted operating loss and adjusted net loss for the quarter, excluding non-cash charges, were ($2.1) million and ($2.0) million, respectively, compared with ($1.4) million and ($1.3) million in the previous year quarter. Negative free cash flow for the second quarter was ($3.7) million, consistent with the previous year.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Balance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Stereotaxis had cash and cash equivalents of $10.5 million and no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Looking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anticipates recurring revenue to grow to approximately $7 million in the third quarter and $8 million in the fourth quarter of this year, driven by methodical increases in MAGiC catheter manufacturing. System revenue is expected to be approximately $3 million in each of the third and fourth 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believes it can advance its strategy, integrate Robocath, and grow revenue significantly without having to subject investors to substantial dilution. Cash flow profitability is anticipated to be reached in the first half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Stereotaxis will host a conference call and webcast today, August 11, 2026, at 4:30 p.m. Eastern Time. To access the conference call, dial 800-715-9871 (US and Canada) or 646-307-1963 (International) and give the participant pass code 4404741. To access the live and replay webcast, please visit the investor relations section of the Stereotaxis website at </w:t>
      </w:r>
      <w:r>
        <w:rPr>
          <w:rFonts w:ascii="Times New Roman;Times;Serif" w:hAnsi="Times New Roman;Times;Serif"/>
          <w:b w:val="false"/>
          <w:i w:val="false"/>
          <w:caps w:val="false"/>
          <w:smallCaps w:val="false"/>
          <w:sz w:val="20"/>
          <w:u w:val="single"/>
        </w:rPr>
        <w:t>www.Stereotaxis.com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Stereotaxis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(NYSE: STXS) is a pioneer and global leader in innovative surgical robotics for minimally invasive endovascular intervention. Its mission is the discovery, development and delivery of robotic systems, instruments, and information solutions for the interventional laboratory. These innovations help physicians provide unsurpassed patient care with robotic precision and safety, expand access to minimally invasive therapy, and enhance the productivity, connectivity, and intelligence in the operating room. Stereotaxis technology has been used to treat over 150,000 patients across the United States, Europe, Asia, and elsewhere. For more information, please visit www.Stereotaxis.com.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includes statements that may constitute “forward-looking” statements, usually containing the words “believe”, “estimate”, “project”, “expect” or similar expressions. These forward-looking statements include without limitation statements regarding the recently completed acquisition of Robocath, including the Company’s ability to advance its strategy, integrate Robocath, and grow revenue significantly without having to subject investors to substantial dilution. Forward-looking statements inherently involve risks and uncertainties that could cause actual results to differ materially. Factors that would cause or contribute to such differences include, but are not limited to, uncertainties involving the following: the Company’s ability to manage expenses at sustainable levels; acceptance of the Company’s products in the marketplace; the effect of global economic conditions, including tariffs, on the ability and willingness of customers to purchase its technology; competitive factors; changes resulting from healthcare policy; dependence upon third-party vendors; timing of regulatory approvals, including as it relates to Robocath’s products; the impact of pandemics or other disasters; statements generally relating to our recent acquisition of Robocath, including any benefits expected from the acquisitions, as well as any plans, forecasts and other expectations with respect to Robocath’s business following the completion of the transaction; and the other risks discussed in the Company’s periodic and other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making these forward-looking statements, the Company undertakes no obligation to update these statements for revisions or changes after the date of this release. Additional information will also be set forth in future filings that we make with the SEC from time to time. All forward-looking statements in this press release are based on information available to us as of the date hereof, and we do not assume any obligation to update the forward-looking statements provided to reflect events that occur or circumstances that exist after the date on which they were made. There can be no assurance that the Company will recognize revenue related to its purchase orders and other commitments because some of these purchase orders and other commitments are subject to contingencies that are outside of the Company’s control and may be revised, modified, delayed, or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314-678-6100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Investors@Stereotaxis.com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0"/>
        <w:gridCol w:w="60"/>
        <w:gridCol w:w="140"/>
        <w:gridCol w:w="1220"/>
        <w:gridCol w:w="95"/>
        <w:gridCol w:w="60"/>
        <w:gridCol w:w="140"/>
        <w:gridCol w:w="1100"/>
        <w:gridCol w:w="95"/>
        <w:gridCol w:w="60"/>
        <w:gridCol w:w="140"/>
        <w:gridCol w:w="1100"/>
        <w:gridCol w:w="95"/>
        <w:gridCol w:w="60"/>
        <w:gridCol w:w="140"/>
        <w:gridCol w:w="1100"/>
        <w:gridCol w:w="110"/>
      </w:tblGrid>
      <w:tr>
        <w:trPr/>
        <w:tc>
          <w:tcPr>
            <w:tcW w:w="4490" w:type="dxa"/>
            <w:tcBorders/>
            <w:vAlign w:val="center"/>
          </w:tcPr>
          <w:p>
            <w:pPr>
              <w:pStyle w:val="TableContents"/>
              <w:bidi w:val="0"/>
              <w:spacing w:before="0" w:after="283"/>
              <w:jc w:val="left"/>
              <w:rPr>
                <w:i/>
              </w:rPr>
            </w:pPr>
            <w:r>
              <w:rPr>
                <w:i/>
              </w:rPr>
              <w:t>(in thousands, except share and per share amounts)</w:t>
            </w:r>
          </w:p>
        </w:tc>
        <w:tc>
          <w:tcPr>
            <w:tcW w:w="60" w:type="dxa"/>
            <w:tcBorders/>
            <w:vAlign w:val="center"/>
          </w:tcPr>
          <w:p>
            <w:pPr>
              <w:pStyle w:val="TableContents"/>
              <w:bidi w:val="0"/>
              <w:spacing w:before="0" w:after="283"/>
              <w:jc w:val="left"/>
              <w:rPr/>
            </w:pPr>
            <w:r>
              <w:rPr/>
              <w:t> </w:t>
            </w:r>
          </w:p>
        </w:tc>
        <w:tc>
          <w:tcPr>
            <w:tcW w:w="27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Systems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5,002</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Disposables, service and accessories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11,268</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16,270</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Systems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4,033</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Disposables, service and accessories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3,594</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7,627</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8,643</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4,127</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6,417</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8,497</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(492</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18,549</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(9,906</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Interest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258</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(9,649</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Cumulative dividend on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(632</w:t>
            </w:r>
          </w:p>
        </w:tc>
        <w:tc>
          <w:tcPr>
            <w:tcW w:w="110"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(4,782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(10,954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(10,281</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Net loss per share attributed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(0.12</w:t>
            </w:r>
          </w:p>
        </w:tc>
        <w:tc>
          <w:tcPr>
            <w:tcW w:w="110"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(0.12</w:t>
            </w:r>
          </w:p>
        </w:tc>
        <w:tc>
          <w:tcPr>
            <w:tcW w:w="110"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Weighted average number of common shares and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100,031,760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87,952,086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99,496,942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87,861,231</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100,031,760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87,952,086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99,496,942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87,861,231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2"/>
        <w:gridCol w:w="60"/>
        <w:gridCol w:w="166"/>
        <w:gridCol w:w="1042"/>
        <w:gridCol w:w="95"/>
        <w:gridCol w:w="60"/>
        <w:gridCol w:w="150"/>
        <w:gridCol w:w="938"/>
        <w:gridCol w:w="112"/>
      </w:tblGrid>
      <w:tr>
        <w:trPr/>
        <w:tc>
          <w:tcPr>
            <w:tcW w:w="7582" w:type="dxa"/>
            <w:tcBorders/>
            <w:vAlign w:val="center"/>
          </w:tcPr>
          <w:p>
            <w:pPr>
              <w:pStyle w:val="TableContents"/>
              <w:bidi w:val="0"/>
              <w:spacing w:before="0" w:after="283"/>
              <w:jc w:val="left"/>
              <w:rPr>
                <w:i/>
              </w:rPr>
            </w:pPr>
            <w:r>
              <w:rPr>
                <w:i/>
              </w:rPr>
              <w:t>(in thousands, except share amounts)</w:t>
            </w:r>
          </w:p>
        </w:tc>
        <w:tc>
          <w:tcPr>
            <w:tcW w:w="60" w:type="dxa"/>
            <w:tcBorders/>
            <w:vAlign w:val="center"/>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2" w:type="dxa"/>
            <w:tcBorders/>
            <w:vAlign w:val="center"/>
          </w:tcPr>
          <w:p>
            <w:pPr>
              <w:pStyle w:val="TableContents"/>
              <w:bidi w:val="0"/>
              <w:spacing w:before="0" w:after="283"/>
              <w:jc w:val="left"/>
              <w:rPr/>
            </w:pPr>
            <w:r>
              <w:rPr/>
              <w:t> </w:t>
            </w:r>
          </w:p>
        </w:tc>
      </w:tr>
      <w:tr>
        <w:trPr/>
        <w:tc>
          <w:tcPr>
            <w:tcW w:w="7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10,491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13,421</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Accounts receivable, net of allowance of $594 and $541 at 2026 and 2025,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7,549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5,847</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Insurance receivable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6,316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4,316</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12,520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9,567</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1,111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pPr>
            <w:r>
              <w:rPr/>
              <w:t>698</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37,987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33,849</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2,881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3,019</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3,764</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5,957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6,429</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4,658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4,912</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Prepaid and other non-current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pPr>
            <w:r>
              <w:rPr/>
              <w:t>278</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55,582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jc w:val="right"/>
              <w:rPr/>
            </w:pPr>
            <w:r>
              <w:rPr/>
              <w:t>52,251</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042" w:type="dxa"/>
            <w:tcBorders/>
            <w:shd w:fill="FFFFFF" w:val="clear"/>
            <w:vAlign w:val="center"/>
          </w:tcPr>
          <w:p>
            <w:pPr>
              <w:pStyle w:val="TableContents"/>
              <w:bidi w:val="0"/>
              <w:spacing w:before="0" w:after="283"/>
              <w:jc w:val="right"/>
              <w:rPr/>
            </w:pPr>
            <w:r>
              <w:rPr/>
              <w:t>6,866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38" w:type="dxa"/>
            <w:tcBorders/>
            <w:shd w:fill="FFFFFF" w:val="clear"/>
            <w:vAlign w:val="center"/>
          </w:tcPr>
          <w:p>
            <w:pPr>
              <w:pStyle w:val="TableContents"/>
              <w:bidi w:val="0"/>
              <w:spacing w:before="0" w:after="283"/>
              <w:jc w:val="right"/>
              <w:rPr/>
            </w:pPr>
            <w:r>
              <w:rPr/>
              <w:t>4,768</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2,065</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Accrued legal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6,316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4,316</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5,928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5,675</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Current contingent consideration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5,673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4,894</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pPr>
            <w:r>
              <w:rPr/>
              <w:t>642</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26,797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22,360</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Long-term deferred revenue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555</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Long-term contingent consideration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5,343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4,724</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4,484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4,794</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pPr>
            <w:r>
              <w:rPr/>
              <w:t>1,097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pPr>
            <w:r>
              <w:rPr/>
              <w:t>1,097</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38,105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33,530</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Series A - Convertible preferred stock:</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Convertible preferred stock, Series A, par value $0.001; 10,000,000 shares authorized, 20,983 and 21,008 shares outstanding at 2026 and 2025,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5,234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5,240</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Common stock, par value $0.001; 300,000,000 shares authorized, 97,938,091 and 95,339,628 shares issued at 2026 and 2025,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95</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606,048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596,960</w:t>
            </w:r>
          </w:p>
        </w:tc>
        <w:tc>
          <w:tcPr>
            <w:tcW w:w="112" w:type="dxa"/>
            <w:tcBorders/>
            <w:shd w:fill="CCEEFF" w:val="clear"/>
            <w:vAlign w:val="center"/>
          </w:tcPr>
          <w:p>
            <w:pPr>
              <w:pStyle w:val="TableContents"/>
              <w:bidi w:val="0"/>
              <w:spacing w:before="0" w:after="283"/>
              <w:jc w:val="left"/>
              <w:rPr/>
            </w:pPr>
            <w:r>
              <w:rPr/>
              <w:t> </w:t>
            </w:r>
          </w:p>
        </w:tc>
      </w:tr>
      <w:tr>
        <w:trPr/>
        <w:tc>
          <w:tcPr>
            <w:tcW w:w="7582" w:type="dxa"/>
            <w:tcBorders/>
            <w:shd w:fill="FFFFFF" w:val="clear"/>
            <w:vAlign w:val="center"/>
          </w:tcPr>
          <w:p>
            <w:pPr>
              <w:pStyle w:val="TableContents"/>
              <w:bidi w:val="0"/>
              <w:spacing w:before="0" w:after="283"/>
              <w:jc w:val="left"/>
              <w:rPr/>
            </w:pPr>
            <w:r>
              <w:rPr/>
              <w:t>Treasury stock, 4,015 shares at 2026 and 2025</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(206</w:t>
            </w:r>
          </w:p>
        </w:tc>
        <w:tc>
          <w:tcPr>
            <w:tcW w:w="112" w:type="dxa"/>
            <w:tcBorders/>
            <w:shd w:fill="FFFFFF" w:val="clear"/>
            <w:vAlign w:val="center"/>
          </w:tcPr>
          <w:p>
            <w:pPr>
              <w:pStyle w:val="TableContents"/>
              <w:bidi w:val="0"/>
              <w:spacing w:before="0" w:after="283"/>
              <w:jc w:val="left"/>
              <w:rPr/>
            </w:pPr>
            <w:r>
              <w:rPr/>
              <w:t>)</w:t>
            </w:r>
          </w:p>
        </w:tc>
      </w:tr>
      <w:tr>
        <w:trPr/>
        <w:tc>
          <w:tcPr>
            <w:tcW w:w="7582"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(593,697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pPr>
            <w:r>
              <w:rPr/>
              <w:t>(583,368</w:t>
            </w:r>
          </w:p>
        </w:tc>
        <w:tc>
          <w:tcPr>
            <w:tcW w:w="112" w:type="dxa"/>
            <w:tcBorders/>
            <w:shd w:fill="CCEEFF" w:val="clear"/>
            <w:vAlign w:val="center"/>
          </w:tcPr>
          <w:p>
            <w:pPr>
              <w:pStyle w:val="TableContents"/>
              <w:bidi w:val="0"/>
              <w:spacing w:before="0" w:after="283"/>
              <w:jc w:val="left"/>
              <w:rPr/>
            </w:pPr>
            <w:r>
              <w:rPr/>
              <w:t>)</w:t>
            </w:r>
          </w:p>
        </w:tc>
      </w:tr>
      <w:tr>
        <w:trPr/>
        <w:tc>
          <w:tcPr>
            <w:tcW w:w="7582"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pPr>
            <w:r>
              <w:rPr/>
              <w:t>12,243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pPr>
            <w:r>
              <w:rPr/>
              <w:t>13,481</w:t>
            </w:r>
          </w:p>
        </w:tc>
        <w:tc>
          <w:tcPr>
            <w:tcW w:w="112" w:type="dxa"/>
            <w:tcBorders/>
            <w:shd w:fill="FFFFFF" w:val="clear"/>
            <w:vAlign w:val="center"/>
          </w:tcPr>
          <w:p>
            <w:pPr>
              <w:pStyle w:val="TableContents"/>
              <w:bidi w:val="0"/>
              <w:spacing w:before="0" w:after="283"/>
              <w:jc w:val="left"/>
              <w:rPr/>
            </w:pPr>
            <w:r>
              <w:rPr/>
              <w:t> </w:t>
            </w:r>
          </w:p>
        </w:tc>
      </w:tr>
      <w:tr>
        <w:trPr/>
        <w:tc>
          <w:tcPr>
            <w:tcW w:w="7582"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jc w:val="right"/>
              <w:rPr/>
            </w:pPr>
            <w:r>
              <w:rPr/>
              <w:t>55,582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52,251</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2344</Words>
  <Characters>13552</Characters>
  <CharactersWithSpaces>16319</CharactersWithSpaces>
  <Paragraphs>1210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