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def14a.htm"/>
      <w:bookmarkStart w:id="1" w:name="ksformdef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36"/>
        </w:rPr>
      </w:pPr>
      <w:bookmarkStart w:id="2" w:name="xdx_909_edei--DocumentType_dxL_c20250101"/>
      <w:bookmarkEnd w:id="2"/>
      <w:r>
        <w:rPr>
          <w:rFonts w:ascii="Times New Roman;Times;Serif" w:hAnsi="Times New Roman;Times;Serif"/>
          <w:b/>
          <w:i w:val="false"/>
          <w:caps w:val="false"/>
          <w:smallCaps w:val="false"/>
          <w:sz w:val="36"/>
        </w:rPr>
        <w:t>SCHEDULE 14A</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 Securities</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of 1934</w:t>
      </w:r>
    </w:p>
    <w:p>
      <w:pPr>
        <w:pStyle w:val="TextBody"/>
        <w:shd w:fill="FFFFFF" w:val="clear"/>
        <w:bidi w:val="0"/>
        <w:spacing w:before="0" w:after="0"/>
        <w:jc w:val="center"/>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2120"/>
        <w:gridCol w:w="3590"/>
      </w:tblGrid>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tc>
      </w:tr>
    </w:tbl>
    <w:p>
      <w:pPr>
        <w:pStyle w:val="TextBody"/>
        <w:shd w:fill="FFFFFF" w:val="clear"/>
        <w:bidi w:val="0"/>
        <w:spacing w:before="0" w:after="0"/>
        <w:ind w:left="336" w:right="0" w:hanging="245"/>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5_edei--EntityRegistrantName_c2025"/>
      <w:bookmarkEnd w:id="3"/>
      <w:r>
        <w:rPr>
          <w:rFonts w:ascii="Times New Roman;Times;Serif" w:hAnsi="Times New Roman;Times;Serif"/>
          <w:b/>
          <w:i w:val="false"/>
          <w:caps w:val="false"/>
          <w:smallCaps w:val="false"/>
          <w:sz w:val="36"/>
        </w:rPr>
        <w:t>Stereotaxis,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tbl>
      <w:tblPr>
        <w:tblW w:w="4219" w:type="dxa"/>
        <w:jc w:val="left"/>
        <w:tblInd w:w="0" w:type="dxa"/>
        <w:tblLayout w:type="fixed"/>
        <w:tblCellMar>
          <w:top w:w="0" w:type="dxa"/>
          <w:left w:w="0" w:type="dxa"/>
          <w:bottom w:w="0" w:type="dxa"/>
          <w:right w:w="0" w:type="dxa"/>
        </w:tblCellMar>
      </w:tblPr>
      <w:tblGrid>
        <w:gridCol w:w="658"/>
        <w:gridCol w:w="3561"/>
      </w:tblGrid>
      <w:tr>
        <w:trPr/>
        <w:tc>
          <w:tcPr>
            <w:tcW w:w="42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tc>
      </w:tr>
      <w:tr>
        <w:trPr/>
        <w:tc>
          <w:tcPr>
            <w:tcW w:w="658" w:type="dxa"/>
            <w:tcBorders/>
            <w:vAlign w:val="center"/>
          </w:tcPr>
          <w:p>
            <w:pPr>
              <w:pStyle w:val="TableContents"/>
              <w:bidi w:val="0"/>
              <w:spacing w:before="0" w:after="283"/>
              <w:jc w:val="left"/>
              <w:rPr>
                <w:caps w:val="false"/>
                <w:smallCaps w:val="false"/>
              </w:rPr>
            </w:pPr>
            <w:r>
              <w:rPr>
                <w:caps w:val="false"/>
                <w:smallCaps w:val="false"/>
              </w:rPr>
              <w:t> </w:t>
            </w:r>
          </w:p>
        </w:tc>
        <w:tc>
          <w:tcPr>
            <w:tcW w:w="356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8" w:type="dxa"/>
            <w:tcBorders/>
            <w:vAlign w:val="center"/>
          </w:tcPr>
          <w:p>
            <w:pPr>
              <w:pStyle w:val="TableContents"/>
              <w:bidi w:val="0"/>
              <w:spacing w:before="0" w:after="283"/>
              <w:jc w:val="left"/>
              <w:rPr>
                <w:caps w:val="false"/>
                <w:smallCaps w:val="false"/>
              </w:rPr>
            </w:pPr>
            <w:r>
              <w:rPr>
                <w:caps w:val="false"/>
                <w:smallCaps w:val="false"/>
              </w:rPr>
              <w:t>☒</w:t>
            </w:r>
          </w:p>
        </w:tc>
        <w:tc>
          <w:tcPr>
            <w:tcW w:w="35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bl>
    <w:p>
      <w:pPr>
        <w:pStyle w:val="TextBody"/>
        <w:bidi w:val="0"/>
        <w:spacing w:before="0" w:after="0"/>
        <w:ind w:left="0" w:right="0" w:hanging="0"/>
        <w:jc w:val="both"/>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45920" cy="12528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5920" cy="125285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2450" w:type="dxa"/>
        <w:jc w:val="left"/>
        <w:tblInd w:w="0" w:type="dxa"/>
        <w:tblLayout w:type="fixed"/>
        <w:tblCellMar>
          <w:top w:w="0" w:type="dxa"/>
          <w:left w:w="0" w:type="dxa"/>
          <w:bottom w:w="0" w:type="dxa"/>
          <w:right w:w="0" w:type="dxa"/>
        </w:tblCellMar>
      </w:tblPr>
      <w:tblGrid>
        <w:gridCol w:w="75"/>
        <w:gridCol w:w="23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 North Tucker Boulevard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110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Louis, Missouri 63101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678-6100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our Annual Meeting of Shareholders on Thursday, May 14, 2026, at 10:00 a.m. (Central Daylight Time) at our Company headquarters at 710 North Tucker Boulevard, Suite 110, in St. Louis, Missouri 63101.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about the meeting are described in the Notice of Internet Availability of Proxy Materials you received in the mail and in this proxy statement. We have also made a copy of our 2025 Annual Report on Form 10-K and this proxy statement available on the Internet. Whether or not you plan to attend the meeting, we encourage you to read our 2025 Annual Report and this proxy statement and to vote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very important to us. Most shareholders hold their shares in street name through a broker and may vote by using the Internet, by telephone, or by mail. If your shares are held in the name of a bank, broker, or other holder of record, you must present proof of your ownership, such as a bank or brokerage account statement, to be admitted to the meeting and if you plan to vote your shares in person at the meeting, you must obtain a proxy, executed in your favor, from your bank or broker. All shareholders must also present a form of personal identification to be admitted to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entire Board, I thank you for your continued support and look forward to seeing you at the meeting.</w:t>
      </w:r>
    </w:p>
    <w:p>
      <w:pPr>
        <w:pStyle w:val="TextBody"/>
        <w:bidi w:val="0"/>
        <w:spacing w:before="0" w:after="0"/>
        <w:ind w:left="0" w:right="0" w:hanging="0"/>
        <w:jc w:val="both"/>
        <w:rPr>
          <w:caps w:val="false"/>
          <w:smallCaps w:val="false"/>
        </w:rPr>
      </w:pPr>
      <w:r>
        <w:rPr>
          <w:caps w:val="false"/>
          <w:smallCaps w:val="false"/>
        </w:rPr>
        <w:t> </w:t>
      </w:r>
    </w:p>
    <w:tbl>
      <w:tblPr>
        <w:tblW w:w="2420" w:type="dxa"/>
        <w:jc w:val="left"/>
        <w:tblInd w:w="0" w:type="dxa"/>
        <w:tblLayout w:type="fixed"/>
        <w:tblCellMar>
          <w:top w:w="0" w:type="dxa"/>
          <w:left w:w="0" w:type="dxa"/>
          <w:bottom w:w="0" w:type="dxa"/>
          <w:right w:w="0" w:type="dxa"/>
        </w:tblCellMar>
      </w:tblPr>
      <w:tblGrid>
        <w:gridCol w:w="75"/>
        <w:gridCol w:w="2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L. Fischel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 Fischel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45920" cy="12528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45920" cy="125285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2450" w:type="dxa"/>
        <w:jc w:val="left"/>
        <w:tblInd w:w="0" w:type="dxa"/>
        <w:tblLayout w:type="fixed"/>
        <w:tblCellMar>
          <w:top w:w="0" w:type="dxa"/>
          <w:left w:w="0" w:type="dxa"/>
          <w:bottom w:w="0" w:type="dxa"/>
          <w:right w:w="0" w:type="dxa"/>
        </w:tblCellMar>
      </w:tblPr>
      <w:tblGrid>
        <w:gridCol w:w="75"/>
        <w:gridCol w:w="23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 North Tucker Boulevard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110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Louis, Missouri 63101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678-6100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NOTICE OF ANNUAL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3,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of Shareholders of Stereotaxis, Inc. will be held at our principal executive offices located at 710 North Tucker Boulevard, Suite 110, St. Louis, Missouri 63101, on Thursday, May 14, 2026, at 10:00 a.m. (Central Daylight Time) for the following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three (3) Class I directors to serve until the 2029 Annual Meeting and until, at the election of the Company, his or her successor is duly elected and qualified;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ratify the appointment of Ernst &amp; Young LLP as our independent registered public accounting firm for fiscal year 2026;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by non-binding vote, executive compensation;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such other business as may properly come before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fixed Monday, March 16, 2026, as the date of record for the meeting, and only shareholders of record at the close of business on that date will be entitled to vote at the meeting or any adjournment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began sending to all shareholders of record a Notice of Internet Availability of Proxy Materials on April 3, 2026. Please note that our Annual Report on Form 10-K for the fiscal year ended December 31, 2025, is available for viewing on the Internet. Please refer to the instructions on the Notice of Internet Availability of Proxy Materials you received in the mail.</w:t>
      </w:r>
    </w:p>
    <w:p>
      <w:pPr>
        <w:pStyle w:val="TextBody"/>
        <w:bidi w:val="0"/>
        <w:spacing w:before="0" w:after="0"/>
        <w:ind w:left="0" w:right="0" w:firstLine="360"/>
        <w:jc w:val="both"/>
        <w:rPr>
          <w:caps w:val="false"/>
          <w:smallCaps w:val="false"/>
        </w:rPr>
      </w:pPr>
      <w:r>
        <w:rPr>
          <w:caps w:val="false"/>
          <w:smallCaps w:val="false"/>
        </w:rPr>
        <w:t> </w:t>
      </w:r>
    </w:p>
    <w:tbl>
      <w:tblPr>
        <w:tblW w:w="2930" w:type="dxa"/>
        <w:jc w:val="left"/>
        <w:tblInd w:w="0" w:type="dxa"/>
        <w:tblLayout w:type="fixed"/>
        <w:tblCellMar>
          <w:top w:w="0" w:type="dxa"/>
          <w:left w:w="0" w:type="dxa"/>
          <w:bottom w:w="0" w:type="dxa"/>
          <w:right w:w="0" w:type="dxa"/>
        </w:tblCellMar>
      </w:tblPr>
      <w:tblGrid>
        <w:gridCol w:w="75"/>
        <w:gridCol w:w="2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Patricia S. Williams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Louis, Missouri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IMPORTANT NOTICE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Vote Your Shares Promptly</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685"/>
        <w:gridCol w:w="245"/>
      </w:tblGrid>
      <w:tr>
        <w:trPr/>
        <w:tc>
          <w:tcPr>
            <w:tcW w:w="768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QUESTIONS AND ANSWERS ABOUT THE ANNUAL MEETING</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INFORMATION ABOUT THE BOARD OF DIRECTORS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CORPORATE GOVERNANCE INFORMATION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BOARD MEETINGS AND COMMITTEES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DIRECTOR COMPENSATION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EXECUTIVE COMPENSATION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caps w:val="false"/>
                  <w:smallCaps w:val="false"/>
                  <w:sz w:val="20"/>
                </w:rPr>
                <w:t>Executive Compensation Summary and Analysis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caps w:val="false"/>
                  <w:smallCaps w:val="false"/>
                  <w:sz w:val="20"/>
                </w:rPr>
                <w:t>Summary Compensation Table</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caps w:val="false"/>
                  <w:smallCaps w:val="false"/>
                  <w:sz w:val="20"/>
                </w:rPr>
                <w:t>Outstanding Equity Awards at Fiscal Year-End</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caps w:val="false"/>
                  <w:smallCaps w:val="false"/>
                  <w:sz w:val="20"/>
                </w:rPr>
                <w:t>Pay versus Performance</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caps w:val="false"/>
                  <w:smallCaps w:val="false"/>
                  <w:sz w:val="20"/>
                </w:rPr>
                <w:t>Securities Authorized for Issuance under Equity Compensation Plans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REPORT OF AUDIT COMMITTEE</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PROPOSAL 1: ELECTION OF DIRECTORS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PROPOSAL 2: RATIFICATION OF INDEPENDENT REGISTERED PUBLIC ACCOUNTANTS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PROPOSAL 3: TO APPROVE BY NON-BINDING VOTE, EXECUTIVE COMPENSATION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6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PRINCIPAL ACCOUNTING FEES AND SERVICES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DELINQUENT SECTION 16(a) REPORTS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b w:val="false"/>
                  <w:i w:val="false"/>
                  <w:caps w:val="false"/>
                  <w:smallCaps w:val="false"/>
                  <w:sz w:val="20"/>
                </w:rPr>
                <w:t>GENERAL INFORMATION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a_001"/>
      <w:bookmarkEnd w:id="4"/>
      <w:r>
        <w:rPr>
          <w:rFonts w:ascii="Times New Roman;Times;Serif" w:hAnsi="Times New Roman;Times;Serif"/>
          <w:b/>
          <w:i w:val="false"/>
          <w:caps w:val="false"/>
          <w:smallCaps w:val="false"/>
          <w:sz w:val="20"/>
        </w:rPr>
        <w:t>QUESTIONS AND ANSWERS ABOUT THE ANNUAL MEETING</w:t>
      </w:r>
    </w:p>
    <w:p>
      <w:pPr>
        <w:pStyle w:val="TextBody"/>
        <w:bidi w:val="0"/>
        <w:spacing w:before="0" w:after="0"/>
        <w:ind w:left="0" w:right="0" w:hanging="0"/>
        <w:jc w:val="both"/>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215"/>
        <w:gridCol w:w="3035"/>
      </w:tblGrid>
      <w:tr>
        <w:trPr/>
        <w:tc>
          <w:tcPr>
            <w:tcW w:w="21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w:t>
            </w:r>
          </w:p>
        </w:tc>
        <w:tc>
          <w:tcPr>
            <w:tcW w:w="303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Why am I receiving these materials?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“Board”) of Stereotaxis, Inc. (the “Company”) is soliciting proxies from the Company’s shareholders in connection with its 2026 Annual Meeting of Shareholders to be held on May 14, 2026, and all adjournments and postponements thereof. You are encouraged to vote on the proposals presented in these proxy materials. You are invited to attend the Annual Meeting, but you do not have to attend to vote.</w:t>
      </w:r>
    </w:p>
    <w:p>
      <w:pPr>
        <w:pStyle w:val="TextBody"/>
        <w:bidi w:val="0"/>
        <w:spacing w:before="0" w:after="0"/>
        <w:ind w:left="0" w:right="0" w:hanging="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215"/>
        <w:gridCol w:w="3395"/>
      </w:tblGrid>
      <w:tr>
        <w:trPr/>
        <w:tc>
          <w:tcPr>
            <w:tcW w:w="21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w:t>
            </w:r>
          </w:p>
        </w:tc>
        <w:tc>
          <w:tcPr>
            <w:tcW w:w="339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When and where is the Annual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presently intend to hold the Annual Meeting of Shareholders on Thursday, May 14, 2026, at 10:00 a.m. Central Daylight Time, at our principal executive offices located at 710 North Tucker Boulevard, Suite 110, St. Louis, Missouri 63101.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w:t>
            </w:r>
          </w:p>
        </w:tc>
        <w:tc>
          <w:tcPr>
            <w:tcW w:w="999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Why did I receive a notice in the mail regarding the Internet availability of proxy materials instead of a full set of proxy materials?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rules adopted by the Securities and Exchange Commission (the “SEC”), we may furnish proxy materials, including this proxy statement and our 2025 Annual Report on Form 10-K, to our shareholders by providing access to such documents on the Internet instead of mailing printed copies. Most shareholders will not receive printed copies of the proxy materials unless they request them. Instead, the Notice, which was mailed to most of our shareholders, will instruct you as to how you may access and review all the proxy materials on the Internet. The Notice also instructs you as to how you may submit your proxy on the Internet. If you would like to receive a paper or email copy of our proxy materials, you should follow the instructions for requesting such materials in the Notice.</w:t>
      </w:r>
    </w:p>
    <w:p>
      <w:pPr>
        <w:pStyle w:val="TextBody"/>
        <w:bidi w:val="0"/>
        <w:spacing w:before="0" w:after="0"/>
        <w:ind w:left="0" w:right="0" w:hanging="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215"/>
        <w:gridCol w:w="4505"/>
      </w:tblGrid>
      <w:tr>
        <w:trPr/>
        <w:tc>
          <w:tcPr>
            <w:tcW w:w="21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w:t>
            </w:r>
          </w:p>
        </w:tc>
        <w:tc>
          <w:tcPr>
            <w:tcW w:w="450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do I get electronic access to the proxy materials?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will provide you with instructions regarding how to view our proxy materials for the Annual Meeting on the Internet.</w:t>
      </w:r>
    </w:p>
    <w:p>
      <w:pPr>
        <w:pStyle w:val="TextBody"/>
        <w:bidi w:val="0"/>
        <w:spacing w:before="0" w:after="0"/>
        <w:ind w:left="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215"/>
        <w:gridCol w:w="1985"/>
      </w:tblGrid>
      <w:tr>
        <w:trPr/>
        <w:tc>
          <w:tcPr>
            <w:tcW w:w="21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w:t>
            </w:r>
          </w:p>
        </w:tc>
        <w:tc>
          <w:tcPr>
            <w:tcW w:w="198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Who is entitled to vote?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entitled to vote if you were a shareholder of record of shares of our common stock or Series A Convertible Preferred Stock (subject to certain beneficial ownership limitations) at the close of business on Monday, March 16, 2026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there were 97,477,538 shares of our common stock and 21,008 shares of our Series A Convertible Preferred Stock outstanding and entitled to vote, subject to specified beneficial ownership limitations in the case of the Series A Convertible Preferred Stock.</w:t>
      </w:r>
    </w:p>
    <w:p>
      <w:pPr>
        <w:pStyle w:val="TextBody"/>
        <w:bidi w:val="0"/>
        <w:spacing w:before="0" w:after="0"/>
        <w:ind w:left="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15"/>
        <w:gridCol w:w="2300"/>
      </w:tblGrid>
      <w:tr>
        <w:trPr/>
        <w:tc>
          <w:tcPr>
            <w:tcW w:w="21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w:t>
            </w:r>
          </w:p>
        </w:tc>
        <w:tc>
          <w:tcPr>
            <w:tcW w:w="230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many votes do I have?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that you own entitles you to one vote. On the Record Date, there were a total of 97,477,538 shares of common stock outstanding. For purposes of voting, each share of Series A Convertible Preferred Stock is convertible into 2,412 shares of our common stock and is entitled to one vote for each share of common stock into which it is convertible, subject to specified beneficial ownership limitations. On the Record Date there were 21,008 shares of Series A Convertible Preferred Stock outstanding, entitling the holders of those shares to an aggregate of 23,705,445 votes, after giving effect to the beneficial ownership limitations. Accordingly, on the Record Date, the holders of our common stock and Series A Convertible Preferred Stock are entitled to an aggregate of 121,182,983 votes in respect of such shares of stock.</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215"/>
        <w:gridCol w:w="2900"/>
      </w:tblGrid>
      <w:tr>
        <w:trPr/>
        <w:tc>
          <w:tcPr>
            <w:tcW w:w="21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w:t>
            </w:r>
          </w:p>
        </w:tc>
        <w:tc>
          <w:tcPr>
            <w:tcW w:w="290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am I being asked to vote 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our shareholders to: (1) elect three (3) Class I directors to serve until the 2029 Annual Meeting and until, at the election of the Company, their successors are duly elected and qualified; (2) ratify the appointment of Ernst &amp; Young LLP as our independent registered public accounting firm for the 2026 fiscal year; and (3) to approve by non-binding vote, executive compensation, and (4) to transact such other business as may properly come before the meeting.</w:t>
      </w:r>
    </w:p>
    <w:p>
      <w:pPr>
        <w:pStyle w:val="TextBody"/>
        <w:bidi w:val="0"/>
        <w:spacing w:before="0" w:after="0"/>
        <w:ind w:left="0" w:right="0" w:hanging="0"/>
        <w:jc w:val="both"/>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215"/>
        <w:gridCol w:w="8150"/>
      </w:tblGrid>
      <w:tr>
        <w:trPr/>
        <w:tc>
          <w:tcPr>
            <w:tcW w:w="21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w:t>
            </w:r>
          </w:p>
        </w:tc>
        <w:tc>
          <w:tcPr>
            <w:tcW w:w="815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do I do if my shares of common stock are held in “street name” at a bank or brokerage firm?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an account at a brokerage firm, bank, broker-dealer, trust, or other similar organization, you are considered the beneficial owner of shares held in “street name,” and the Notice should have been forwarded to you by that organization. As the beneficial owner, you have the right to direct your broker, bank, trustee, or nominee how to vote your shares, and you are invited to attend the Annual Meeting.</w:t>
      </w:r>
    </w:p>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15"/>
        <w:gridCol w:w="1295"/>
      </w:tblGrid>
      <w:tr>
        <w:trPr/>
        <w:tc>
          <w:tcPr>
            <w:tcW w:w="21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w:t>
            </w:r>
          </w:p>
        </w:tc>
        <w:tc>
          <w:tcPr>
            <w:tcW w:w="129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do I vote?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you expect to be present in person at the Annual Meeting, you are requested to vote your shares. Most shareholders will be able to choose whether they wish to vote using the Internet, by telephone, or by mail. The availability of Internet voting or telephone voting for shareholders whose shares are held in street name by a bank or a broker may depend on the voting processes of that organization. If you vote using the Internet, you may incur costs such as telephone and Internet access charges for which you will be responsible. Internet and telephone voting facilities will be available 24 hours a day and will close at 11:59 p.m., Eastern Daylight Time, on May 13, 2026, the day before the date of the Annual Meeting. If you hold your shares directly as a shareholder of record and you attend the meeting, you may vote by ballot. If you hold your shares in street name through a bank or broker and you wish to vote at the meeting, you must obtain a proxy, executed in your favor, from your bank or broker.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you hold shares directly as the shareholder of record or beneficially in street name, you may direct how your shares are voted without attending the Annual Meeting. If you are a shareholder of record, you may vote by proxy. You can vote by proxy over the Internet by following the instructions provided in the Notice or if you requested to receive printed proxy materials, you can also vote by mail, telephone, or the Internet pursuant to instructions provided on the proxy card. If you hold shares beneficially in street name, you may vote by proxy over the Internet by following the instructions provided in the Notice, or, if you requested to receive printed proxy materials, you can also vote by following the voting instruction card provided to you by your broker, bank, trustee, or nominee.</w:t>
      </w:r>
    </w:p>
    <w:p>
      <w:pPr>
        <w:pStyle w:val="TextBody"/>
        <w:bidi w:val="0"/>
        <w:spacing w:before="0" w:after="0"/>
        <w:ind w:left="0" w:right="0" w:hanging="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215"/>
        <w:gridCol w:w="2855"/>
      </w:tblGrid>
      <w:tr>
        <w:trPr/>
        <w:tc>
          <w:tcPr>
            <w:tcW w:w="21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w:t>
            </w:r>
          </w:p>
        </w:tc>
        <w:tc>
          <w:tcPr>
            <w:tcW w:w="285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if I want to change my vote?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shareholder of record, you can revoke your proxy at any time before it is voted at the Annual Meeting by:</w:t>
      </w:r>
    </w:p>
    <w:p>
      <w:pPr>
        <w:pStyle w:val="TextBody"/>
        <w:bidi w:val="0"/>
        <w:spacing w:before="0" w:after="0"/>
        <w:ind w:left="0" w:right="0" w:hanging="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timely delivering a properly executed, later-dated proxy;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submitting a later vote by Internet or telephone any time prior to 11:59 p.m., Eastern Daylight Time, on May 13,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delivering a written revocation of your proxy to our Secretary at our principal executive offices;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by ballot at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the name of a bank or brokerage firm, you may change your vote by submitting new voting instructions to your bank or broker following the instructions that they provide.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215"/>
        <w:gridCol w:w="3410"/>
      </w:tblGrid>
      <w:tr>
        <w:trPr/>
        <w:tc>
          <w:tcPr>
            <w:tcW w:w="21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w:t>
            </w:r>
          </w:p>
        </w:tc>
        <w:tc>
          <w:tcPr>
            <w:tcW w:w="341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vote of the shareholders is needed?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may be conducted at the Annual Meeting unless a majority of the outstanding shares of our common stock entitled to vote at the meeting, present in person or represented by proxy, constitutes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election of directors (Proposal 1), the three nominees receiving the highest number of votes cast “FOR” their election will be elected.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appointment of Ernst &amp; Young LLP as our independent registered public accounting firm for fiscal year 2026 (Proposal 2) requires the affirmative vote of a majority of the shares present in person or represented by proxy at the Annual Meeting and entitled to vote on the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on an advisory basis, of the compensation of our named executive officers (Proposal 3) requires the affirmative vote of a majority of the shares present in person or represented by proxy at the Annual Meeting and entitled to vote on the proposal. Because Proposal 3 is advisory, it will not be binding on the Company, the Board of Directors, or the Compensation Committee. However, the Board of Directors and the Compensation Committee will review the voting results and take them into account in the future.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w:t>
            </w:r>
          </w:p>
        </w:tc>
        <w:tc>
          <w:tcPr>
            <w:tcW w:w="999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happens if I request a paper copy of proxy material and return my signed proxy card but forget to indicate how I want my shares of common stock voted?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sign, date, and return your proxy card but do not indicate how you want your shares voted, your proxy will be counted as a vote “FOR” the election of each of the nominees for director, “FOR” the ratification of the appointment of Ernst &amp; Young LLP as our independent registered public accounting firm for fiscal year 2026, and “FOR” the approval, on an advisory basis, of the compensation of our named executive officers. The proxy holders will vote in their discretion on any other matter that may properly come before the Annual Meeting.</w:t>
      </w:r>
    </w:p>
    <w:p>
      <w:pPr>
        <w:pStyle w:val="TextBody"/>
        <w:bidi w:val="0"/>
        <w:spacing w:before="0" w:after="0"/>
        <w:ind w:left="0" w:right="0" w:hanging="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215"/>
        <w:gridCol w:w="8660"/>
      </w:tblGrid>
      <w:tr>
        <w:trPr/>
        <w:tc>
          <w:tcPr>
            <w:tcW w:w="21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w:t>
            </w:r>
          </w:p>
        </w:tc>
        <w:tc>
          <w:tcPr>
            <w:tcW w:w="866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happens if I do not instruct my broker how to vote or if I indicate I wish to “abstain” on the proxy?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in street name through a broker, bank or other nominee and do not provide voting instructions, your broker will have discretionary authority to vote your shares only on proposals considered “routine” under applicable rules. This is a “broker non-vote.” An “abstention” represents a stockholder’s affirmative choice to decline to vote on a proposal. Abstentions are counted as present and entitled to vote for purposes of determining a quorum. However, abstentions will otherwise have no effect on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Proposal 1, the election of directors, and Proposal 3, the advisory vote to approve the compensation of our named executive officers, to be considered non-routine matters. Accordingly, if you do not provide voting instructions, your broker will not be permitted to vote your shares on Proposal 1 or Proposal 3, which, as explained below, could result in broker non-votes on those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Proposal 2, the ratification of the appointment of Ernst &amp; Young LLP as our independent registered public accounting firm for fiscal year 2026, to be considered a routine matter. Accordingly, if you do not provide voting instructions, your broker may vote your shares on Proposal 2 in its discretion. Abstentions, if any, will be counted for purposes of determining whether a quorum is present. If a broker exercises its discretion to vote on Proposal 2 but does not have instructions from the beneficial owner on how to vote on Proposals 1 or 3, the underlying shares will also be counted for establishing the presence of a quorum but will result in broker non-votes for such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bylaws, directors are elected by a plurality of the votes of the shares present in person or represented by proxy duly authorized at the meeting and entitled to vote on the election of directors. As a result of such plurality voting standard, broker non-votes and abstentions, if any, will have no effect on the outcome of the election of directors with respect to Proposal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Proposal 2 and Proposal 3, abstentions will have the same effect as votes “AGAINST” the proposal because those proposals require the affirmative vote of a majority of the shares present in person or represented by proxy and entitled to vote on the proposal. There will be no broker non-votes with respect to Proposal 2, since it is the only item on the agenda for which brokers may exercise their discretion to vote “FOR” or “AGAINST” the proposal in the absence of any instructions from the beneficial owners. Broker non-votes as to Proposal 3, if any, will have no effect on the outcome of such proposal.</w:t>
      </w:r>
    </w:p>
    <w:p>
      <w:pPr>
        <w:pStyle w:val="TextBody"/>
        <w:bidi w:val="0"/>
        <w:spacing w:before="0" w:after="0"/>
        <w:ind w:left="0" w:right="0" w:hanging="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215"/>
        <w:gridCol w:w="4865"/>
      </w:tblGrid>
      <w:tr>
        <w:trPr/>
        <w:tc>
          <w:tcPr>
            <w:tcW w:w="21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w:t>
            </w:r>
          </w:p>
        </w:tc>
        <w:tc>
          <w:tcPr>
            <w:tcW w:w="486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if other matters are voted on at the Annual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matters are properly presented for consideration at the Annual Meeting and you have voted your shares on the Internet, by telephone, or by mail, the persons named as proxies in your proxy will have the discretion to vote on those matters for you. As of the date we filed this proxy statement with the Securities and Exchange Commission, the Board of Directors did not know of any other matter to be presented at the Annual Meeting.</w:t>
      </w:r>
    </w:p>
    <w:p>
      <w:pPr>
        <w:pStyle w:val="TextBody"/>
        <w:bidi w:val="0"/>
        <w:spacing w:before="0" w:after="0"/>
        <w:ind w:left="0" w:right="0" w:hanging="0"/>
        <w:jc w:val="both"/>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15"/>
        <w:gridCol w:w="5165"/>
      </w:tblGrid>
      <w:tr>
        <w:trPr/>
        <w:tc>
          <w:tcPr>
            <w:tcW w:w="21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w:t>
            </w:r>
          </w:p>
        </w:tc>
        <w:tc>
          <w:tcPr>
            <w:tcW w:w="516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do I need to do if I plan to attend the meeting in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shareholders must present a form of personal identification to be admitted to the meeting. If your shares are held in the name of a bank, broker, or other holder of record, you also must present proof of your ownership, such as a bank or brokerage account statement, to be admitted to the meeting.</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a_002"/>
      <w:bookmarkEnd w:id="5"/>
      <w:r>
        <w:rPr>
          <w:rFonts w:ascii="Times New Roman;Times;Serif" w:hAnsi="Times New Roman;Times;Serif"/>
          <w:b/>
          <w:i w:val="false"/>
          <w:caps w:val="false"/>
          <w:smallCaps w:val="false"/>
          <w:sz w:val="20"/>
        </w:rPr>
        <w:t>INFORMATION ABOUT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directors set by the Board is nine. The directors are distributed among three staggered classes (Classes I, II and III). At each annual meeting of shareholders, a class of directors is elected for a term of three years to succeed the class of directors whose terms are then expiring. The terms of the Class I, II and III Directors will expire upon the election and qualification of successor directors at the annual meeting of shareholders to be held (i) this year for the Class I Directors, (ii) in 2027 for the Class II Directors, and (iii) in 2028 for the Class III Directors, or upon their earlier death, resignation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the name, age, and business experience of each of the continuing directors and nominees of the Company, including the specific experience, qualifications, attributes, or skills that led to the conclusion that such person should serve as a director. Dr. Nathan Fischel is the father of David L. Fischel, our Chief Executive Officer and Chairman of the Board.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I Directors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Nominees for election to the Board at the 2026 Annual Meeting to serve a three-year term until the 2029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W. Benfer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since February 2005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Benfer, 79, has served as the chairman of The Benfer Group LLC, which provides advisory services to healthcare providers and suppliers, since 2010. From 1999 to 2009, Mr. Benfer served as president and chief executive officer of Saint Raphael Healthcare System and the Hospital of Saint Raphael, New Haven, Connecticut. Prior to that, he was the president and chief executive officer of the Provena-Saint Joseph/Morris Health Network in Joliet, Illinois from 1992 to 1999. Mr. Benfer served as senior vice president for Hospital and Urban Affairs for the Henry Ford Health System in Detroit and chief executive officer of the Henry Ford Hospital from 1985 to 1992. He served as the chairman of the American College of Healthcare Executives (ACHE) from 1998 to 1999 and on its board of governors from 1992 to 2000. Mr. Benfer was named a Fellow of ACHE in 1981 and served on the board of the Catholic Health Association from 2003 until 2008. He earned his M.B.A. from Xavier University and his B.S.B.A. from Wittenburg University. Mr. Benfer’s extensive experience in the healthcare industry and in hospital management provides the Company with useful industry information related to technology acquisition, governance, and risk and liability issues. Mr. Benfer serves on the Board of The John and Mable Ringling Museum of Art Foundation, Inc., the state museum of Florida.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Arun S. Menawat, Ph.D.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since September 2016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Menawat, 71, is Chairman and CEO of Profound Medical Corp. (NASDAQ: PROF), a medical device company that is driving commercialization of real-time MRI-guided ablation for prostate diseases including cancer. Dr. Menawat has an accomplished history of executive leadership success in the healthcare industry. He was previously the Chairman, President, and CEO of Novadaq Technologies Inc. Under his 13-year tenure at Novadaq, he transformed the company from a small private pre-commercial company into the leader in intraoperative imaging and was instrumental in signing strategic partnerships with companies including Intuitive Surgical, LifeCell, and KCI. He obtained a Ph.D. in Chemical (Bio) Engineering from the University of Maryland, while concurrently completing a fellowship in biomedical engineering at the U.S. National Institute of Health and holds an Executive MBA from the J.L. Kellogg School of Management, Northwestern University. In 2014, Dr. Menawat was named the EY Ontario Entrepreneur of the Year in the health sciences category. Dr. Menawat’s strong executive experience with medical device companies provides the Board with valuable guidance for product innovation, customer initiatives and operational matters.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Myriam Curet, M.D.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since July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Curet, 69, currently serves as Executive Vice President and Chief Medical Officer for Intuitive Surgical, the global leader and pioneer of robotic surgery. Dr. Curet joined Intuitive Surgical in 2005 and has since led the development of clinical evidence, physician education, and reimbursement activities that have been instrumental to Intuitive Surgical’s growth across multiple clinical specialties. For more than 20 years, Dr. Curet has also served as a Clinical Professor of Surgery at Stanford University School of Medicine, with a part-time clinical appointment at the Palo Alto Veteran’s Administration Medical Center. Dr. Curet received her M.D. from Harvard Medical School and completed her general surgery residency at the University of Chicago. Dr. Curet’s extensive medical credentials and her executive experience in a medical device company provide the Board with significant insights into the commercial adoption of our products, as well as product innovation and operational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II Directors (terms expiring at the 2027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Nachum Shamir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since July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Shamir, 71, most recently served as Chairman and Chief Executive Officer of Luminex Corporation from 2014 through its sale to DiaSorin S.p.A. for $1.8 Billion in 2021. Prior to Luminex, Mr. Shamir served as President and Chief Executive Officer of Given Imaging from 2006 through its sale to Covidien for $1 Billion in 2014. Prior to that, he was Corporate Vice President of Eastman Kodak and President of Eastman Kodak Transaction and Industrial Solutions Group. Mr. Shamir joined Eastman Kodak from Scitex Corporation where he held various executive positions, including President and CEO, prior to its acquisition in 2004 by Eastman Kodak. Mr. Shamir has held senior management positions at various international companies, mainly in the Asia Pacific regions. He currently serves as Chairman of Mediwound, a publicly traded leader in enzymatic therapeutics for burn and wound-care, and SSI Diagnostica, a private-equity owned diagnostics company. Mr. Shamir holds a Bachelor of Science from the Hebrew University of Jerusalem and a Master of Public Administration from Harvard University. Mr. Shamir brings to Stereotaxis significant experience and expertise in growing global commercial organizations, scaling high-technology medical device operations, and successfully executing mergers and acquisitions.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L. Fischel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and Chairman of the Board since February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since September 2016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Fischel, 39, has served as Chairman and CEO of Stereotaxis since 2017, leading the Company’s efforts to return to financial health, drive commercial growth, and advance a comprehensive innovation strategy. He has served for over ten years as Principal and portfolio manager for medical device investments at DAFNA Capital Management, LLC. Prior to joining DAFNA Capital, he was a research analyst at SCP Vitalife, a healthcare venture capital fund. Mr. Fischel completed his B.S. magna cum laude in Applied Mathematics with a minor in Accounting at the University of California at Los Angeles and received his MBA from Bar-Ilan University in Tel Aviv. He is a Certified Public Accountant, Chartered Financial Analyst and Chartered Alternative Investment Analyst. Mr. Fischel’s extensive understanding of our business, operations, and strategy, as well as financial and medical device industry experience, enables him to make valuable contributions to the Board of Directors.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a_003"/>
      <w:bookmarkEnd w:id="6"/>
      <w:r>
        <w:rPr>
          <w:rFonts w:ascii="Times New Roman;Times;Serif" w:hAnsi="Times New Roman;Times;Serif"/>
          <w:b/>
          <w:i w:val="false"/>
          <w:caps w:val="false"/>
          <w:smallCaps w:val="false"/>
          <w:sz w:val="20"/>
        </w:rPr>
        <w:t>Class III Directors (terms expiring at the 2028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Nathan Fischel, M.D.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since February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Fischel, 70, is the Founder and CEO of DAFNA Capital Management, LLC. DAFNA Capital is an SEC registered investment advisor with a highly successful investment record of over 25 years focused on innovations in biotechnology and medical devices. Dr. Fischel was Professor of Pediatrics at UCLA School of Medicine and attending physician in Pediatric Hematology and Oncology at Cedars-Sinai Medical Center in Los Angeles. He has published over 120 peer-reviewed scientific and medical manuscripts and book chapters, has been the principal investigator of multiple National Institutes of Health (“NIH”) funded research grants, has served repeatedly on internal and external review panels at the NIH, and was appointed by the U.S. Secretary of Health and Human Services to serve for four years on the Advisory Council of one of the NIH’s institutes. Dr. Fischel received his M.D. from the Technion Israel Institute of Technology and served his internship year at Hadassah Hospital in Jerusalem. He completed his residency and fellowship in Pediatrics and Pediatric Hematology and Oncology at the Children’s Hospital and the Dana-Farber Cancer Institute, Harvard Medical School in Boston, and his postgraduate research training in Molecular Genetics at Oxford University in England. Dr. Fischel’s experience as a physician enables him to provide critical perspectives regarding our technologies and the commercial adoption of our products, and his extensive knowledge of medical device companies allows him to provide insight to the Board on strategic decisions.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Ross B. Levin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since July 2018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Levin, 42, is the Director of Research for Arbiter Partners Capital Management LLC and a principal in the firm. Mr. Levin is a former board member of Capital Senior Living Corporation, Mood Media Corporation, American Community Properties Trust and Presidential Life Corporation. Mr. Levin is also chairman emeritus of the board of directors of Constructive Partnerships Unlimited, a non-profit organization providing services and programs for people with developmental disabilities, and former vice chairman of the board of the Cerebral Palsy Associations of New York State. Mr. Levin is a member of the New York Society of Securities Analysts and a CFA charter holder. Mr. Levin holds a Bachelor of Science degree in Management with a concentration in Finance from the A.B. Freeman School of Business at Tulane University and has completed the Investment Decisions and Behavioral Finance program at the John F. Kennedy School of Government at Harvard University. Mr. Levin’s extensive professional experience in evaluating and analyzing financial information provides the Board with expertise in financing, accounting, and governance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4"/>
      <w:bookmarkEnd w:id="7"/>
      <w:r>
        <w:rPr>
          <w:rFonts w:ascii="Times New Roman;Times;Serif" w:hAnsi="Times New Roman;Times;Serif"/>
          <w:b/>
          <w:i w:val="false"/>
          <w:caps w:val="false"/>
          <w:smallCaps w:val="false"/>
          <w:sz w:val="20"/>
        </w:rPr>
        <w:t>CORPORATE GOVERNANCE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 and Board Role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 Fischel became chief executive officer and chairman of the Board effective February 3, 2017. Since February 2015, David W. Benfer has served as the lead independent director. The Board believes it should retain flexibility to determine whether the roles of Chief Executive Officer and Chairman of the Board should be combined or separated. separate The Board believes that its current leadership structure, with the roles of chief executive officer and chairman of the Board combined and Mr. Benfer serving as lead independent director, provides appropriate leadership for the Company and best serves the shareholders. Mr. Benfer provides independent leadership on the Board and works with the chief executive officer and the other independent directors to facilitate communications. Our independent directors regularly have executive sessions as part of our regular meeting schedule, during which only the independent directors are present, in accordance with Section 802(c) of the NYSE American Company Guide. Mr. Benfer leads these sessions and provides feedback to the chief executive officer and, when appropriate, other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provides risk oversight to the Company through the Audit Committee. The Audit Committee monitors financial, healthcare compliance, regulatory, and cybersecurity risks. The Audit Committee assesses with management the Company’s major risk exposures, and the steps management has taken to monitor, manage, and control such exposures, reviews management’s risk assessment and risk management programs, and reports on these matters to the full Board. This oversight process takes place through discussions at committee meetings with members of senior management responsible for the Company’s risk management policies and procedures, including the management team responsible for assessing and managing material risks from cybersecurity threats. In connection with its oversight of cybersecurity risk, the Audit Committee receives updates regarding the Company’s cybersecurity risk management program, which is integrated into the Company’s overall enterprise risk management program and includes a cybersecurity incident response plan. In addition, the Audit Committee regularly meets in a private session with the Company’s independent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trading symbol “STXS.” The stock began trading on the NYSE American on September 6, 2019. Prior to that date, the stock had traded on the OTCQX® Best Market since August 4, 2016. Our Board is required to evaluate and affirmatively determine the independence of our directors under the listing standards of the NYSE American, specifically, NYSE American Company Guide Section 803.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David L. Fischel and Dr. Nathan Fischel, the Board determined that each member of the Board, and each member of the Audit Committee, Compensation Committee, and Nominating and Corporate Governance Committee was independent in 2025 under the listing standards of the NYSE American.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responsible for identifying and recommending to the Board candidates to serve as members of the Board. In carrying out this responsibility, the committee has adopted a written policy setting forth the minimum qualifications to serve as a director of the Company. These minimum qualifications emphasize integrity, independence, experience, strength of character, mature judgment, and technical skills applicable to the Company. The committee will also consider whether the candidate is able to represent all shareholders of the Company fairly and equally, without favoring or advancing any particular shareholder or other constituency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also seeks Board members from diverse professional backgrounds who combine a broad spectrum of experience and expertise with a reputation for integrity. Directors should have experience in positions with a high degree of responsibility, be leaders in the companies or institutions with which they are affiliated, and/or be selected based upon contributions they can make to the Company and Board. In selecting nominees, the Board does not discriminate based on race, color, national origin, sex (including pregnancy, sexual orientation, gender, and/or gender identity), religion, disability, or 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approve, in its discretion, the candidacy of a nominee who does not satisfy all these requirements if it believes the service of the nominee is in the best interests of the Company and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has written procedures for identifying and evaluating candidates for election to the Board. The material elements of that process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gives due consideration to the re-nomination of incumbent directors who desire to continue their service and who continue to satisfy the committee’s criteria for membership on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qualified and available incumbent, the committee will identify and evaluate new candidates and will solicit or entertain recommendations for nominees from other Board members and the Company’s management. The committee may also engage a professional search firm to assist it in identifying qualified candidates.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Nomination of Directors by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will evaluate candidates proposed by shareholders for nomination as directors under criteria similar to the evaluation of other candidates. Our bylaws provide that shareholders seeking to nominate candidates for election as directors at an annual meeting of shareholders must provide timely notice in writing. To be timely, a shareholder’s notice must be delivered to, or mailed and received at, our principal executive offices not more than 120 days or less than 90 days prior to the anniversary date of the immediately preceding annual meeting of shareholders. However, if the annual meeting is called for a date that is not within 30 days (before or after) such anniversary, notice must be received not later than the close of business on the 10th day following the date on which notice of the date of the annual meeting was mailed to shareholders or made public, whichever occurs first. Our bylaws specify requirements as to the form and content of a shareholder’s notice. These provisions may preclude shareholders from making nominations for directors at an annual meeting of shareholders.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has established a written policy that will consider recommendations for the nomination of a candidate properly submitted by holders of the Company’s shares entitled to vote in the election of directors. The material elements of that policy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will consider these recommendations for positions on the Board where the committee has decided not to re-nominate a qualified incumbent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annual meeting of shareholders, it is anticipated that the committee will accept for consideration only one recommendation from any shareholder or affiliated group of shareholders (within the meaning of SEC Regulation 13D);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committee has not established a minimum number of shares that a shareholder must own in order to present a nominating recommendation for consideration, or a minimum length of time during which the shareholder must own its shares, the committee may, in its discretion, take into account the size and duration of a recommending shareholder’s ownership interest in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in its discretion, also consider the extent to which the shareholder making the nominating recommendation intends to maintain its ownership interest in the Company, to the extent such information is available to the committee. The committee may elect not to consider recommendations of nominees who do not satisfy the criteria described above, as well as whether the candidate can represent the interests of all shareholders and not serve for the purpose of favoring or advancing the interests of any particular shareholder group or other constituency. Absent special or unusual circumstances, only those recommendations whose submission complies with the procedural requirements adopted by the committee will be considered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wishing to submit a candidate for consideration should send the following information to the Corporate Secretary, Stereotaxis, Inc., 710 North Tucker Boulevard, Suite 110, St. Louis, Missouri 63101: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name, number of shares owned, length of period held and proof of ownership;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age, business, and residential address of candidate;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detailed résumé describing, among other things, the candidate’s educational background, occupation, employment history, and material outside commitments (e.g., memberships on other boards and committees, charitable foundations);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supporting statement which describes the candidate’s reasons for seeking election to the Board and documents the candidate’s ability to satisfy the director’s qualifications described 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information relating to the candidate that is required to be disclosed in the solicitation of proxies for election of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and number of shares of our capital stock that are beneficially owned by the candidate;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any arrangements or understandings between the shareholder and the candidate;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statement from the candidate, confirming the candidate’s willingness to serve on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Secretary will promptly forward such materials to the chair of our Nominating and Corporate Governance Committee and our chairman of the Board. Our Corporate Secretary will also maintain copies of such materials for future reference by the committee when filling Board positions. Shareholders may submit potential director candidates at any time pursuant to these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Communications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wishing to send communications to our Board should send the written communication and the following information to our Corporate Secretary, Stereotaxis, Inc., 710 North Tucker Boulevard, Suite 110, St. Louis, Missouri 63101: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name, number of shares owned, length of period held and proof of ownership;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age, business, and residential address of shareholder;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individual director or committee to whom the shareholder would like to have the written statement and other information sent.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Secretary will forward the information to the chairman of the Board, if addressed to the full Board, or to the specific director to which the communication is addressed.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 Code of Conduct that applies to all our directors, officers, and employees. Shareholders may download a free copy of our Code of Conduct from our website (www.stereotaxis.com) or by written request to our Chief Compliance Officer as follows:</w:t>
      </w:r>
    </w:p>
    <w:p>
      <w:pPr>
        <w:pStyle w:val="TextBody"/>
        <w:bidi w:val="0"/>
        <w:spacing w:before="0" w:after="0"/>
        <w:ind w:left="0" w:right="0" w:hanging="0"/>
        <w:jc w:val="both"/>
        <w:rPr>
          <w:caps w:val="false"/>
          <w:smallCaps w:val="false"/>
        </w:rPr>
      </w:pPr>
      <w:r>
        <w:rPr>
          <w:caps w:val="false"/>
          <w:smallCaps w:val="false"/>
        </w:rPr>
        <w:t> </w:t>
      </w:r>
    </w:p>
    <w:tbl>
      <w:tblPr>
        <w:tblW w:w="4220" w:type="dxa"/>
        <w:jc w:val="left"/>
        <w:tblInd w:w="0" w:type="dxa"/>
        <w:tblLayout w:type="fixed"/>
        <w:tblCellMar>
          <w:top w:w="0" w:type="dxa"/>
          <w:left w:w="0" w:type="dxa"/>
          <w:bottom w:w="0" w:type="dxa"/>
          <w:right w:w="0" w:type="dxa"/>
        </w:tblCellMar>
      </w:tblPr>
      <w:tblGrid>
        <w:gridCol w:w="75"/>
        <w:gridCol w:w="41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Stepanek, Sr. Director, Regulatory Affairs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 North Tucker Boulevard, Suite 110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Louis, Missouri 63101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promptly disclose any amendments to, or waivers from, any provision of the Code of Conduct by posting the relevant material on our website (</w:t>
      </w:r>
      <w:r>
        <w:rPr>
          <w:rFonts w:ascii="Times New Roman;Times;Serif" w:hAnsi="Times New Roman;Times;Serif"/>
          <w:b w:val="false"/>
          <w:i w:val="false"/>
          <w:caps w:val="false"/>
          <w:smallCaps w:val="false"/>
          <w:sz w:val="20"/>
          <w:u w:val="single"/>
        </w:rPr>
        <w:t>www.stereotaxis.com</w:t>
      </w:r>
      <w:r>
        <w:rPr>
          <w:rFonts w:ascii="Times New Roman;Times;Serif" w:hAnsi="Times New Roman;Times;Serif"/>
          <w:b w:val="false"/>
          <w:i w:val="false"/>
          <w:caps w:val="false"/>
          <w:smallCaps w:val="false"/>
          <w:sz w:val="20"/>
        </w:rPr>
        <w:t>) in accordance with SEC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 Trading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w:t>
      </w:r>
      <w:bookmarkStart w:id="8" w:name="xdx_900_eecd--InsiderTrdPoliciesProcAdop"/>
      <w:bookmarkEnd w:id="8"/>
      <w:r>
        <w:rPr>
          <w:rFonts w:ascii="Times New Roman;Times;Serif" w:hAnsi="Times New Roman;Times;Serif"/>
          <w:b w:val="false"/>
          <w:i w:val="false"/>
          <w:caps w:val="false"/>
          <w:smallCaps w:val="false"/>
          <w:sz w:val="20"/>
        </w:rPr>
        <w:t>adopted an insider trading policy governing the purchase and sale of our securities (including adoption of pre-planned trading plans, such as those permitted under Rule 10b5-1) that applies to all company personnel, including directors, officers, and employees of the Company and its wholly-owned and majority-owned subsidiaries, and provides that such individuals may not permit any member of their immediate family or anyone acting on their behalf to buy or sell securities that may be affected by the information. The policy also prohibits trading in securities of another company (such as a customer, supplier, or joint venture partner of Stereotaxis) when an individual is aware of material non-public information about that company. Our practice is not to engage in transactions in our securities while being aware of material non-public information relating to the Company or our securities. We believe that our insider trading policy is designed to promote compliance with insider trading laws, rules and regulations, and listing standards applicable to us. A copy of our insider trading policy is filed as an exhibit to our Annual Report on Form 10-K for the year ended December 31, 2025, filed with the SEC on March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Policy on Hedging and Pledging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 trading policy prohibits our directors, officers and employees from engaging in transactions designed to hedge or offset any decrease in the market value of Stereotaxis securities, including prepaid variable forwards, equity swaps, collars, or exchange funds. Therefore, directors, officers, and employees are prohibited from pledging Stereotaxis securities as collateral for any loan or other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Policies and Practices on the Timing of Awards of Equity Awards in Relation to the Disclosure of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9" w:name="xdx_908_eecd--AwardTmgMnpiDiscTextBlock_"/>
      <w:bookmarkEnd w:id="9"/>
      <w:r>
        <w:rPr>
          <w:rFonts w:ascii="Times New Roman;Times;Serif" w:hAnsi="Times New Roman;Times;Serif"/>
          <w:b w:val="false"/>
          <w:i w:val="false"/>
          <w:caps w:val="false"/>
          <w:smallCaps w:val="false"/>
          <w:sz w:val="20"/>
        </w:rPr>
        <w:t xml:space="preserve">Although we do </w:t>
      </w:r>
      <w:bookmarkStart w:id="10" w:name="xdx_902_eecd--AwardTmgMnpiCnsdrdFlag_dbF"/>
      <w:bookmarkEnd w:id="10"/>
      <w:r>
        <w:rPr>
          <w:rFonts w:ascii="Times New Roman;Times;Serif" w:hAnsi="Times New Roman;Times;Serif"/>
          <w:b w:val="false"/>
          <w:i w:val="false"/>
          <w:caps w:val="false"/>
          <w:smallCaps w:val="false"/>
          <w:sz w:val="20"/>
        </w:rPr>
        <w:t>not have a formal written policy in place regarding the timing of awards of stock options or similar awards in relation to the disclosure of material nonpublic information, our equity awards are generally granted on fixed dates determined in advance. Annual equity awards are considered as part of the pay review process that occurs at the beginning of the fiscal year at which time, as noted above, the Compensation Committee reviews and approves, among other things, annual equity awards. From time to time, our Compensation Committee may grant equity awards outside of our annual grant cycle for new hires, promotions, recognition, retention, or other purposes.</w:t>
      </w:r>
    </w:p>
    <w:p>
      <w:pPr>
        <w:pStyle w:val="TextBody"/>
        <w:bidi w:val="0"/>
        <w:spacing w:before="0" w:after="0"/>
        <w:ind w:left="0" w:right="0" w:firstLine="720"/>
        <w:jc w:val="both"/>
        <w:rPr>
          <w:caps w:val="false"/>
          <w:smallCaps w:val="false"/>
        </w:rPr>
      </w:pPr>
      <w:bookmarkStart w:id="11" w:name="xdx_C0C_gIFATMDTB-XFFEFW_zBV88FCv0Fw8"/>
      <w:bookmarkEnd w:id="11"/>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2" w:name="xdx_C09_gIFATMDTB-XFFEFW_zsf351qVkHG8"/>
      <w:bookmarkEnd w:id="12"/>
      <w:r>
        <w:rPr>
          <w:rFonts w:ascii="Times New Roman;Times;Serif" w:hAnsi="Times New Roman;Times;Serif"/>
          <w:b w:val="false"/>
          <w:i w:val="false"/>
          <w:caps w:val="false"/>
          <w:smallCaps w:val="false"/>
          <w:sz w:val="20"/>
        </w:rPr>
        <w:t xml:space="preserve">Our Compensation Committee approves all equity awards on or before the grant date. For any grants of stock options or similar equity awards, the Compensation Committee does not grant equity awards in anticipation of the release of material nonpublic information. Similarly, the Compensation Committee does </w:t>
      </w:r>
      <w:bookmarkStart w:id="13" w:name="xdx_900_eecd--MnpiDiscTimedForCompValFla"/>
      <w:bookmarkEnd w:id="13"/>
      <w:r>
        <w:rPr>
          <w:rFonts w:ascii="Times New Roman;Times;Serif" w:hAnsi="Times New Roman;Times;Serif"/>
          <w:b w:val="false"/>
          <w:i w:val="false"/>
          <w:caps w:val="false"/>
          <w:smallCaps w:val="false"/>
          <w:sz w:val="20"/>
        </w:rPr>
        <w:t>not time the release of material nonpublic information based on equity award grant dates for the purpose of affecting the value of executive compensation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05"/>
      <w:bookmarkEnd w:id="14"/>
      <w:r>
        <w:rPr>
          <w:rFonts w:ascii="Times New Roman;Times;Serif" w:hAnsi="Times New Roman;Times;Serif"/>
          <w:b/>
          <w:i w:val="false"/>
          <w:caps w:val="false"/>
          <w:smallCaps w:val="false"/>
          <w:sz w:val="20"/>
        </w:rPr>
        <w:t>BOARD MEETINGS AND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the Board of Directors held five meetings, in addition to acting on two occasions by unanimous written consent. During fiscal year 2025 all incumbent directors attended at least 75% of the aggregate meetings of the Board and the Board committees on which they served during the period they held office. Directors are encouraged, but not required, to attend our Annual Meeting of Shareholders. Mr. David Fischel attended our 2025 Annual Meeting of Shareholders.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 Membership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established three standing committees. Presently, the standing committees are Audit, Compensation, and Nominating and Corporate Governance. Committee membership as of the end of fiscal year 2025 was as follows:</w:t>
      </w:r>
    </w:p>
    <w:p>
      <w:pPr>
        <w:pStyle w:val="TextBody"/>
        <w:bidi w:val="0"/>
        <w:spacing w:before="0" w:after="0"/>
        <w:ind w:left="0" w:right="0" w:hanging="0"/>
        <w:jc w:val="both"/>
        <w:rPr>
          <w:caps w:val="false"/>
          <w:smallCaps w:val="false"/>
        </w:rPr>
      </w:pPr>
      <w:r>
        <w:rPr>
          <w:caps w:val="false"/>
          <w:smallCaps w:val="false"/>
        </w:rPr>
        <w:t> </w:t>
      </w:r>
    </w:p>
    <w:tbl>
      <w:tblPr>
        <w:tblW w:w="4240" w:type="dxa"/>
        <w:jc w:val="left"/>
        <w:tblInd w:w="0" w:type="dxa"/>
        <w:tblLayout w:type="fixed"/>
        <w:tblCellMar>
          <w:top w:w="0" w:type="dxa"/>
          <w:left w:w="0" w:type="dxa"/>
          <w:bottom w:w="28" w:type="dxa"/>
          <w:right w:w="0" w:type="dxa"/>
        </w:tblCellMar>
      </w:tblPr>
      <w:tblGrid>
        <w:gridCol w:w="2060"/>
        <w:gridCol w:w="60"/>
        <w:gridCol w:w="2120"/>
      </w:tblGrid>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r>
      <w:tr>
        <w:trPr/>
        <w:tc>
          <w:tcPr>
            <w:tcW w:w="20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Ross B. Levin, Chairman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Arun Menawat, Chairman</w:t>
            </w:r>
          </w:p>
        </w:tc>
      </w:tr>
      <w:tr>
        <w:trPr/>
        <w:tc>
          <w:tcPr>
            <w:tcW w:w="20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W. Benfer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Myriam Curet</w:t>
            </w:r>
          </w:p>
        </w:tc>
      </w:tr>
      <w:tr>
        <w:trPr/>
        <w:tc>
          <w:tcPr>
            <w:tcW w:w="20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Nachum Shamir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W. Benfer</w:t>
            </w:r>
          </w:p>
        </w:tc>
      </w:tr>
    </w:tbl>
    <w:p>
      <w:pPr>
        <w:pStyle w:val="TextBody"/>
        <w:bidi w:val="0"/>
        <w:spacing w:before="0" w:after="0"/>
        <w:ind w:left="0" w:right="0" w:hanging="0"/>
        <w:jc w:val="both"/>
        <w:rPr>
          <w:caps w:val="false"/>
          <w:smallCaps w:val="false"/>
        </w:rPr>
      </w:pPr>
      <w:r>
        <w:rPr>
          <w:caps w:val="false"/>
          <w:smallCaps w:val="false"/>
        </w:rPr>
        <w:t> </w:t>
      </w:r>
    </w:p>
    <w:tbl>
      <w:tblPr>
        <w:tblW w:w="3395" w:type="dxa"/>
        <w:jc w:val="left"/>
        <w:tblInd w:w="0" w:type="dxa"/>
        <w:tblLayout w:type="fixed"/>
        <w:tblCellMar>
          <w:top w:w="0" w:type="dxa"/>
          <w:left w:w="0" w:type="dxa"/>
          <w:bottom w:w="28" w:type="dxa"/>
          <w:right w:w="0" w:type="dxa"/>
        </w:tblCellMar>
      </w:tblPr>
      <w:tblGrid>
        <w:gridCol w:w="3260"/>
        <w:gridCol w:w="60"/>
        <w:gridCol w:w="75"/>
      </w:tblGrid>
      <w:tr>
        <w:trPr/>
        <w:tc>
          <w:tcPr>
            <w:tcW w:w="32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&amp; Corporate Governance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David W. Benfer, Chairman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Myriam Curet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Ross B. Levin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charter for each committee. The charters of our Audit, Compensation, and Nominating and Corporate Governance Committees, and our Code of Conduct are published on our website at www.stereotaxis.com, Investors, Board &amp; Management, Governance. These materials are available in print to any shareholder upon request. From time to time, the Board and the committees review and update these documents, as they deem necessary and appropriate.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each member of the Audit Committee is independent under the listing standards of the NYSE American and the enhanced independence standards for audit committee members set forth in SEC rules under the Securities Exchange Act of 1934. Further, our Board has determined that each member of the Audit Committee is financially sophisticated. At its April 2025 meeting, the Board determined that Mr. Levin qualifies as an audit committee financial expert under SEC rules and regulations based upon his extensive financial and accounting experience. The Audit Committee assists our Board in its oversight of:</w:t>
      </w:r>
    </w:p>
    <w:p>
      <w:pPr>
        <w:pStyle w:val="TextBody"/>
        <w:bidi w:val="0"/>
        <w:spacing w:before="0" w:after="0"/>
        <w:ind w:left="0" w:right="0" w:hanging="0"/>
        <w:jc w:val="both"/>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integrity of our financial statements;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accounting and financial reporting process, including our internal controls;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compliance with legal and regulatory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registered public accountants’ qualifications and independence;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our independent registered public accountants.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direct responsibility for the appointment, compensation, retention, and oversight of our independent registered public accountants. In addition, the Audit Committee must approve in advance: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related-party transaction that creates a conflict-of-interest situation;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audit services;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non-audit services, except for </w:t>
            </w:r>
            <w:r>
              <w:rPr>
                <w:rFonts w:ascii="Times New Roman;Times;Serif" w:hAnsi="Times New Roman;Times;Serif"/>
                <w:b w:val="false"/>
                <w:i/>
                <w:caps w:val="false"/>
                <w:smallCaps w:val="false"/>
                <w:sz w:val="20"/>
              </w:rPr>
              <w:t xml:space="preserve">de minimis </w:t>
            </w:r>
            <w:r>
              <w:rPr>
                <w:rFonts w:ascii="Times New Roman;Times;Serif" w:hAnsi="Times New Roman;Times;Serif"/>
                <w:b w:val="false"/>
                <w:i w:val="false"/>
                <w:caps w:val="false"/>
                <w:smallCaps w:val="false"/>
                <w:sz w:val="20"/>
              </w:rPr>
              <w:t xml:space="preserve">non-audit services, provided the Audit Committee has approved such </w:t>
            </w:r>
            <w:r>
              <w:rPr>
                <w:rFonts w:ascii="Times New Roman;Times;Serif" w:hAnsi="Times New Roman;Times;Serif"/>
                <w:b w:val="false"/>
                <w:i/>
                <w:caps w:val="false"/>
                <w:smallCaps w:val="false"/>
                <w:sz w:val="20"/>
              </w:rPr>
              <w:t xml:space="preserve">de minimis </w:t>
            </w:r>
            <w:r>
              <w:rPr>
                <w:rFonts w:ascii="Times New Roman;Times;Serif" w:hAnsi="Times New Roman;Times;Serif"/>
                <w:b w:val="false"/>
                <w:i w:val="false"/>
                <w:caps w:val="false"/>
                <w:smallCaps w:val="false"/>
                <w:sz w:val="20"/>
              </w:rPr>
              <w:t>services prior to the completion of the audit.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the Audit Committee met five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each director serving on the Compensation Committee during 2025 was independent under the listing standards of the NYSE American, and that each qualified as a “non-employee director” under Rule 16b-3 under the Securities Exchange Act of 1934. The functions of the Compensation Committee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management and the Board in defining an executive compensation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total compensation package for our chief executive officer and other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performing or, to the extent deemed appropriate delegating to our officers, reviewing and monitoring the administration of our equity- based compensation plans and qualified and non-qualified benefit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new incentive plans and major benefit programs;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changes to the outside directors’ compensation program.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authority to retain compensation consultants to advise or assist the committee within the scope of its duties. The committee has direct responsibility for the appointment, retention, and compensation of the compensation consultants as well as the oversight of the work of the consultants. In selecting any compensation consultant, the committee considers the factors relevant to the consultant’s independence from management in accordance with the listing standards of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the Compensation Committee held one meeting and acted one time by unanimous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each director serving on the Nominating and Corporate Governance Committee during 2025 was independent under the listing standards of the NYSE American. The functions of the Nominating and Corporate Governance Committee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evaluating individuals qualified to become Board members;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director nominees received from shareholders;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director nominees for submission to the shareholders at our annual meeting;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director candidates to fill any vacancies on the Board;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structure and operations of the Board, including recommending Board committee structure, appointments, and responsibilities.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also responsible for developing and recommending to the Board a set of corporate governance guidelines and principles. During fiscal year 2025, the Nominating and Corporate Governance Committee did not meet and acted one time by unanimous written consent.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06"/>
      <w:bookmarkEnd w:id="15"/>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July 2021 Non-Employee Director compensation program, each director receives an annual award of restricted share units (RSUs) equal to $200,000 annually, payable in two equal semi-annual installments valued at $100,000, with the number of RSUs issued at each semi-annual installment calculated by dividing: (a) the total semi-annual grant value of $100,000; by (b) the adjusted closing per share on the accounting grant date for each semi-annual period. The annual equity awards are made in two equal installments on the first business day of January and the first business day of July in each calendar year, paid in arrears (the first installment is compensation for the six months ending December 31st, and the second installment is compensation for the six months ending June 30th) and pro-rated if applicable (such as if a new director is nominated and elected).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has the option to choose one of two vesting schedules prior to the commencement of the year. Each director may elect either for: (1) the restricted share units to vest immediately with the first option as of the date of the award; or (2) the restricted share units to vest on the earliest to occur of (i) the fifth anniversary of the date of the award, (ii) the date on which the service of the director on the Board of Directors terminates, or (iii) a “change of control” of the Company, as defined in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reimburse our directors for reasonable out-of-pocket expenses incurred in connection with attendance and participation in Board and committee meetings (including costs of travel, food, and lodging). Reimbursements for any non-employee director did not exceed the $10,000 threshold in fiscal 2025 and thus are not included in the table below for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discloses compensation to our non-employee directors for their services during 2025:</w:t>
      </w:r>
    </w:p>
    <w:p>
      <w:pPr>
        <w:pStyle w:val="TextBody"/>
        <w:bidi w:val="0"/>
        <w:spacing w:before="0" w:after="0"/>
        <w:ind w:left="0" w:right="0" w:hanging="0"/>
        <w:jc w:val="both"/>
        <w:rPr>
          <w:caps w:val="false"/>
          <w:smallCaps w:val="false"/>
        </w:rPr>
      </w:pPr>
      <w:r>
        <w:rPr>
          <w:caps w:val="false"/>
          <w:smallCaps w:val="false"/>
        </w:rPr>
        <w:t> </w:t>
      </w:r>
    </w:p>
    <w:tbl>
      <w:tblPr>
        <w:tblW w:w="8262" w:type="dxa"/>
        <w:jc w:val="left"/>
        <w:tblInd w:w="0" w:type="dxa"/>
        <w:tblLayout w:type="fixed"/>
        <w:tblCellMar>
          <w:top w:w="0" w:type="dxa"/>
          <w:left w:w="0" w:type="dxa"/>
          <w:bottom w:w="0" w:type="dxa"/>
          <w:right w:w="0" w:type="dxa"/>
        </w:tblCellMar>
      </w:tblPr>
      <w:tblGrid>
        <w:gridCol w:w="1955"/>
        <w:gridCol w:w="60"/>
        <w:gridCol w:w="499"/>
        <w:gridCol w:w="795"/>
        <w:gridCol w:w="60"/>
        <w:gridCol w:w="60"/>
        <w:gridCol w:w="60"/>
        <w:gridCol w:w="800"/>
        <w:gridCol w:w="60"/>
        <w:gridCol w:w="60"/>
        <w:gridCol w:w="174"/>
        <w:gridCol w:w="985"/>
        <w:gridCol w:w="60"/>
        <w:gridCol w:w="60"/>
        <w:gridCol w:w="173"/>
        <w:gridCol w:w="1317"/>
        <w:gridCol w:w="60"/>
        <w:gridCol w:w="60"/>
        <w:gridCol w:w="62"/>
        <w:gridCol w:w="827"/>
        <w:gridCol w:w="75"/>
      </w:tblGrid>
      <w:tr>
        <w:trPr/>
        <w:tc>
          <w:tcPr>
            <w:tcW w:w="1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Fees Earned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or 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All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955" w:type="dxa"/>
            <w:tcBorders>
              <w:bottom w:val="single" w:sz="8" w:space="0" w:color="000000"/>
            </w:tcBorders>
            <w:tcMar>
              <w:bottom w:w="28" w:type="dxa"/>
            </w:tcMar>
            <w:vAlign w:val="center"/>
          </w:tcPr>
          <w:p>
            <w:pPr>
              <w:pStyle w:val="TableContents"/>
              <w:bidi w:val="0"/>
              <w:spacing w:before="0" w:after="283"/>
              <w:jc w:val="center"/>
              <w:rPr>
                <w:b/>
              </w:rPr>
            </w:pPr>
            <w:r>
              <w:rPr>
                <w:b/>
              </w:rPr>
              <w:t>Director</w:t>
            </w:r>
          </w:p>
        </w:tc>
        <w:tc>
          <w:tcPr>
            <w:tcW w:w="6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Awards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W. Benfer</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200,000</w:t>
            </w:r>
          </w:p>
        </w:tc>
        <w:tc>
          <w:tcPr>
            <w:tcW w:w="75"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Myriam Curet</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200,000</w:t>
            </w:r>
          </w:p>
        </w:tc>
        <w:tc>
          <w:tcPr>
            <w:tcW w:w="75"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L. Fischel</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Nathan Fischel, M.D</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200,000</w:t>
            </w:r>
          </w:p>
        </w:tc>
        <w:tc>
          <w:tcPr>
            <w:tcW w:w="75"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Ross Levin</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200,000</w:t>
            </w:r>
          </w:p>
        </w:tc>
        <w:tc>
          <w:tcPr>
            <w:tcW w:w="75"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Arun S. Menawat</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200,000</w:t>
            </w:r>
          </w:p>
        </w:tc>
        <w:tc>
          <w:tcPr>
            <w:tcW w:w="75"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Nachum Shamir </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represents the aggregate grant date fair value computed in accordance with FASB ASC Topic 718. Includes restricted share units issued in 2026 for services performed in 2025.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218,575 restricted share units were outstanding as of December 31, 2025, none of which were vested as of such date.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345,110 restricted share units were outstanding as of December 31, 2025, none of which were vested as of such date.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member of the Company’s management, Mr. David Fischel did not receive compensation for his services as a director in 2025. 25,000 restricted share units were outstanding as of December 31, 2025, none of which were vested as of such date.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406,224 restricted share units were outstanding as of December 31, 2025, none of which were vested as of such date.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89,276 restricted share units were outstanding as of December 31, 2025, none of which were vested as of such date.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07"/>
      <w:bookmarkEnd w:id="16"/>
      <w:r>
        <w:rPr>
          <w:rFonts w:ascii="Times New Roman;Times;Serif" w:hAnsi="Times New Roman;Times;Serif"/>
          <w:b/>
          <w:i w:val="false"/>
          <w:caps w:val="false"/>
          <w:smallCaps w:val="false"/>
          <w:sz w:val="20"/>
        </w:rPr>
        <w:t>EXECUTIVE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the compensation arrangements of our Named Executive Officers for 2025 is intended to provide additional context about our compensation philosophy and our Board’s compensation-related decisions in 2025. It should be read together with the compensation tables and related disclosures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discussion contains forward-looking statements that are based on our current considerations, expectations, and determinations regarding future compensation programs. The actual amount and form of compensation and the compensation programs that we adopt may differ materially from current or planned programs as summarized in this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relate to the compensation arrangements for 2025 of (i) our principal executive officer and (ii) our principal financial officer, who are the two officers included in our Summary Compensation Table (our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7" w:name="a_008"/>
      <w:bookmarkEnd w:id="17"/>
      <w:r>
        <w:rPr>
          <w:rFonts w:ascii="Times New Roman;Times;Serif" w:hAnsi="Times New Roman;Times;Serif"/>
          <w:b/>
          <w:i/>
          <w:caps w:val="false"/>
          <w:smallCaps w:val="false"/>
          <w:sz w:val="20"/>
        </w:rPr>
        <w:t>Executive Compensation Summary and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tasked with discharging the Board’s responsibilities related to oversight of the compensation of our directors and officers and ensuring that our executive compensation program meets our corporate objectives. The following is a summary and analysis of the executive compensation policies, programs and practices developed by the Compensation Committee, and a description of the compensation of our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Philosophy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objective of our compensation program is to attract, retain, and motivate highly qualified executive officers while aligning the interests of these executives with those of shareholders. When designing compensation packages to achieve this objective, the Compensation Committee is guided by the following principles: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Align pay and performance</w:t>
            </w:r>
            <w:r>
              <w:rPr>
                <w:rFonts w:ascii="Times New Roman;Times;Serif" w:hAnsi="Times New Roman;Times;Serif"/>
                <w:b w:val="false"/>
                <w:i w:val="false"/>
                <w:caps w:val="false"/>
                <w:smallCaps w:val="false"/>
                <w:sz w:val="20"/>
              </w:rPr>
              <w:t>: Provide total compensation that is commensurate with stock price performance, the operational and financial success of our business, and the individual performance and contributions of executives.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Manage program cost and dilution: </w:t>
            </w:r>
            <w:r>
              <w:rPr>
                <w:rFonts w:ascii="Times New Roman;Times;Serif" w:hAnsi="Times New Roman;Times;Serif"/>
                <w:b w:val="false"/>
                <w:i w:val="false"/>
                <w:caps w:val="false"/>
                <w:smallCaps w:val="false"/>
                <w:sz w:val="20"/>
              </w:rPr>
              <w:t>Balance other considerations for executive pay programs with their impact on earnings, cash flow, and stock dilution.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 competitive market pay</w:t>
            </w:r>
            <w:r>
              <w:rPr>
                <w:rFonts w:ascii="Times New Roman;Times;Serif" w:hAnsi="Times New Roman;Times;Serif"/>
                <w:b w:val="false"/>
                <w:i w:val="false"/>
                <w:caps w:val="false"/>
                <w:smallCaps w:val="false"/>
                <w:sz w:val="20"/>
              </w:rPr>
              <w:t>: Targeted compensation opportunities should generally reflect levels, both in terms of size of pay opportunity and mix of pay elements observed in the competitive marketplace, as defined by the market median pay levels among companies with which we compete for talent.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adhering to these principles will create a total compensation program that supports our aim to deliver long-term shareholder value through business performance. In addition to the above principles, the Compensation Committee exercises its judgment in setting pay levels with respect to individual competencies and experience and the internal compensation equity among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Role and Independence of the Consultant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when deemed necessary, the Compensation Committee engages the services of an independent compensation consultant to provide the Compensation Committee with market data and analysis, advice on incentive design practices, and an external perspective on pay trends and legal and regulatory developments. No compensation consultant provided services to the Compensation Committee during fiscal 2025.</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Role of Executive Officers in Compensation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executive officers other than our CEO, the Compensation Committee has historically sought and considered input from our CEO regarding such executive officers’ responsibilities, performance, and compensation. Specifically, our CEO recommends base salary increases and equity award levels that are used throughout our compensation plans and advises the Compensation Committee regarding the compensation program’s ability to attract, retain, and motivate executive talent. These recommendations reflect compensation levels that our CEO believes are qualitatively commensurate with an executive officer’s individual qualifications, experience, responsibility level, functional role, knowledge, skills, and individual performance, as well as the Company’s performance. Our Compensation Committee considers our CEO’s recommendations but may adjust up or down as it determines in its discretion and approves the specific compensation for all the executive officers. All such compensation determinations by our Compensation Committee are discretionary.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CEO abstains from voting in sessions of the Board of Directors where the Board of Directors acts on the Compensation Committee’s recommendations regarding his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elements of the compensation program for officers are base salary, equity-based long-term incentive awards, and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elements of the compensation package for our CEO are heavily weighted toward his long-term incentive award made pursuant to the Company’s 2021 CEO Performance Share Unit Award Plan, which was approved by shareholders at our 2021 Annual Meeting (see “</w:t>
      </w:r>
      <w:r>
        <w:rPr>
          <w:rFonts w:ascii="Times New Roman;Times;Serif" w:hAnsi="Times New Roman;Times;Serif"/>
          <w:b w:val="false"/>
          <w:i/>
          <w:caps w:val="false"/>
          <w:smallCaps w:val="false"/>
          <w:sz w:val="20"/>
        </w:rPr>
        <w:t>2025 Executive Compensation—Long-Term Incentive Compensation</w:t>
      </w:r>
      <w:r>
        <w:rPr>
          <w:rFonts w:ascii="Times New Roman;Times;Serif" w:hAnsi="Times New Roman;Times;Serif"/>
          <w:b w:val="false"/>
          <w:i w:val="false"/>
          <w:caps w:val="false"/>
          <w:smallCaps w:val="false"/>
          <w:sz w:val="20"/>
        </w:rPr>
        <w:t>” below). We also compensate Mr. Fischel with a very modest base salary. We believe a typical compensation arrangement for a similarly situated public company in the medical device industry would provide Mr. Fischel with a six-figure annual salary and a similar six-figure annual cash bonus, as well as significant annual stock grants that could have value irrespective of stock price appreciation, and a separation agreement providing a year of salary continuation or other typical termination benefits. Under his employment agreement, Mr. Fischel only receives an annual salary of $60,000. The Company does not intend to pay cash or equity bonuses during his employment, and he is not entitled to any such amounts under his employment agreement. Mr. Fischel’s employment agreement is an “at-will” agreement and does not provide for any salary continuation. While Mr. Fischel could realize substantial value from the 2021 CEO Performance Share Unit Award Plan, he will only do so if the Company and its shareholders benefit. Further, as the majority of Mr. Fischel’s compensation is non-cash based, the Company will be able to allocate its cash resources to further strategic initiatives that improve the underlying value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other than the CEO are also eligible for an annual cash incentive. The Compensation Committee has historically set targeted total compensation at the median of the competitive market. The Compensation Committee may adjust targeted total compensation, or the mix of total compensation based on other considerations such as business performance, company size and stock dilution. In addition, incentive programs are intended to be designed such that total compensation realized by executives is consistent with performance achievement. The objective of the Company’s long-term incentive program is to directly align compensation outcomes with returns received by shareholders, build equity ownership within the management team, and motivate the sustainable financial performance that supports stock price growth. Long-term incentive awards to the CEO are made pursuant to the Company’s 2021 CEO Performance Share Unit Award Plan. Long-term incentive awards to officers other than the CEO are made pursuant to the Company’s 2022 Stock Incentive Plan, which permits grants of cash awards, stock options, stock appreciation rights and stock awards. Throughout the year, the Compensation Committee may also approve awards in connection with employee promotions, employee retention, an individual newly hired to the Company, or for purposes otherwise deemed to be in the best interest of the Company. The timing of these equity award grants is not based on the timing of the release of material, non-public information, nor is such information released for the purpose of affecting the value of executive compensation.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has the discretion to provide annual incentive awards to management, including the Named Executive Officers other than the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typical pay review process occurs at the beginning of the fiscal year at which time the Compensation Committee reviews and approves executive compensation, including adjustments in base salaries, annual incentive awards and equity awards, and, if appropriate, establishes performance goals and target incentive opportunities for the annual incentive plan for the following fiscal year. During the review process, the Compensation Committee considers a number of factors, including competitive market data, input received from the Company’s management, an assessment of individual performance and the operating performance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Annual Base Salary</w:t>
      </w:r>
      <w:r>
        <w:rPr>
          <w:rFonts w:ascii="Times New Roman;Times;Serif" w:hAnsi="Times New Roman;Times;Serif"/>
          <w:b w:val="false"/>
          <w:i w:val="false"/>
          <w:caps w:val="false"/>
          <w:smallCaps w:val="false"/>
          <w:sz w:val="20"/>
        </w:rPr>
        <w:t>. The Compensation Committee approved a base salary increase of approximately $6,000 for Ms. Peery, effective April 1, 2025. The Compensation Committee decided to make no changes to the annual base salary during 2025 for Mr. Fischel, which remained at $60,000 per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Annual Incentive Plan. </w:t>
      </w:r>
      <w:r>
        <w:rPr>
          <w:rFonts w:ascii="Times New Roman;Times;Serif" w:hAnsi="Times New Roman;Times;Serif"/>
          <w:b w:val="false"/>
          <w:i w:val="false"/>
          <w:caps w:val="false"/>
          <w:smallCaps w:val="false"/>
          <w:sz w:val="20"/>
        </w:rPr>
        <w:t>The Compensation Committee decided not to establish a 2025 annual incentive plan based on objective, formulaic performance goals and metrics for the Company or the Named Executive Officers. Instead, the Compensation Committee determined that annual incentive awards to management, including the Named Executive Officers, for the 2025 fiscal year would be discretionary.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Long-Term Incentive Compensation. </w:t>
      </w:r>
      <w:r>
        <w:rPr>
          <w:rFonts w:ascii="Times New Roman;Times;Serif" w:hAnsi="Times New Roman;Times;Serif"/>
          <w:b w:val="false"/>
          <w:i w:val="false"/>
          <w:caps w:val="false"/>
          <w:smallCaps w:val="false"/>
          <w:sz w:val="20"/>
        </w:rPr>
        <w:t>On April 8, 2025, the Compensation Committee, being duly authorized for such action by the Board, approved a grant of service-vested Incentive Stock Options, vesting 25% on the first anniversary and 2.083% per month thereafter through the fourth anniversary. The grant was intended to emphasize retention and the criticality of shareholder alignment during this key phase in the Company’s life cycle.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Board, upon recommendation of the Compensation Committee and subject to shareholder approval, approved a grant of performance based restricted stock units to Mr. Fischel, with vesting contingent on achievement of minimum service requirements and market-based milestones. Shareholders subsequently approved the award in May 2021. As of December 31, 2025, none of the performance milestones established by the 2021 CEO Incentive Program have been achieved and no awards have been earned. The full award document can be found in Exhibit 10.4 to our 2025 Form 10-K filed with the SEC on March 12,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our Board adopted the Stereotaxis Incentive Compensation Recovery Policy (the “Dodd-Frank Clawback Policy”) to comply with final rules required by the Dodd-Frank Wall Street Reform and Consumer Protection Act and the SEC, and the applicable NYSE American listing standards. The Dodd-Frank Clawback Policy provides for the mandatory recoupment of erroneously awarded incentive-based compensation in the event of an accounting restatement. In such an event, the Company would seek to recover the amount of erroneously awarded incentive-based compensation paid to applicable covered executives that was more than the amount that would have been awarded based on the restated financial results, subject to and in accordance with the terms of the policy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also adopted, separate from and in addition to the Dodd-Frank Clawback Policy, a recoupment policy applicable to incentive compensation based on financial results, including the annual bonus and equity-based compensation, to our Named Executive Officers and other executives. If we are required to file a restatement of financial results due to fraud, gross negligence, or willful misconduct, then our independent directors may take action to recoup any portion of the incentive compensation awarded to the executives that exceeded the amount that would have been awarded based on the restated financial results during the three fiscal years prior to the filing of the restated financial results.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Benefits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Healthcare and Other Insurance Programs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All our employees, including the Named Executive Officers, are eligible to participate in medical, dental, short and long-term disability and life insurance plans. The terms of such benefits for our Named Executive Officers are the same as those for all our employees.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401(k</w:t>
            </w:r>
            <w:r>
              <w:rPr>
                <w:rFonts w:ascii="Times New Roman;Times;Serif" w:hAnsi="Times New Roman;Times;Serif"/>
                <w:b w:val="false"/>
                <w:i w:val="false"/>
                <w:caps w:val="false"/>
                <w:smallCaps w:val="false"/>
                <w:sz w:val="20"/>
              </w:rPr>
              <w:t>): We offer all eligible employees the opportunity to participate in a 401(k) plan. Employer matching contributions are discretionary under the 401(k) plan. During 2025, the Company matched employee contributions up to 3% of the employee’s salary, subject to limitations. However, the employer match payment was not made until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Employee Stock Purchase Plan</w:t>
            </w:r>
            <w:r>
              <w:rPr>
                <w:rFonts w:ascii="Times New Roman;Times;Serif" w:hAnsi="Times New Roman;Times;Serif"/>
                <w:b w:val="false"/>
                <w:i w:val="false"/>
                <w:caps w:val="false"/>
                <w:smallCaps w:val="false"/>
                <w:sz w:val="20"/>
              </w:rPr>
              <w:t>: The Company offers an employee stock purchase plan, under which all of our employees, including our Named Executive Officers, who do not own 5% or more of our outstanding common stock, have the opportunity to buy shares of the Company’s common stock at 95% of market price with up to 15% of their salaries and incentives (subject to certain limits), with the objective of allowing employees to profit when the value of our stock increases over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Risk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considered potential risks arising out of our compensation programs and does not believe our compensation programs encourage excessive or inappropriate risk taking by our employees. The Compensation Committee believes that our compensation packages, which are structured to balance fixed and variable compensation and include both annual and long-term incentives, mitigate unnecessary or excessive risk taking.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8" w:name="a_009"/>
      <w:bookmarkEnd w:id="18"/>
      <w:r>
        <w:rPr>
          <w:rFonts w:ascii="Times New Roman;Times;Serif" w:hAnsi="Times New Roman;Times;Serif"/>
          <w:b/>
          <w:i/>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total compensation paid to the following Named Executive Officers for fiscal years 2024 and 2025. For more information about the components of the total compensation, refer to the “Executive Compensation Summary and Analysis” section of this proxy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0"/>
        <w:gridCol w:w="60"/>
        <w:gridCol w:w="530"/>
        <w:gridCol w:w="60"/>
        <w:gridCol w:w="60"/>
        <w:gridCol w:w="800"/>
        <w:gridCol w:w="60"/>
        <w:gridCol w:w="60"/>
        <w:gridCol w:w="321"/>
        <w:gridCol w:w="509"/>
        <w:gridCol w:w="60"/>
        <w:gridCol w:w="60"/>
        <w:gridCol w:w="67"/>
        <w:gridCol w:w="763"/>
        <w:gridCol w:w="60"/>
        <w:gridCol w:w="60"/>
        <w:gridCol w:w="120"/>
        <w:gridCol w:w="1370"/>
        <w:gridCol w:w="60"/>
        <w:gridCol w:w="60"/>
        <w:gridCol w:w="120"/>
        <w:gridCol w:w="1370"/>
        <w:gridCol w:w="60"/>
        <w:gridCol w:w="60"/>
        <w:gridCol w:w="60"/>
        <w:gridCol w:w="800"/>
        <w:gridCol w:w="75"/>
      </w:tblGrid>
      <w:tr>
        <w:trPr/>
        <w:tc>
          <w:tcPr>
            <w:tcW w:w="2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Salary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Stock</w:t>
              <w:b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Option</w:t>
              <w:b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Non-Equity</w:t>
              <w:br/>
              <w:t>Incentive Plan</w:t>
              <w:b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All Other</w:t>
              <w:b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Totals</w:t>
            </w:r>
          </w:p>
        </w:tc>
        <w:tc>
          <w:tcPr>
            <w:tcW w:w="75" w:type="dxa"/>
            <w:tcBorders/>
            <w:vAlign w:val="center"/>
          </w:tcPr>
          <w:p>
            <w:pPr>
              <w:pStyle w:val="TableContents"/>
              <w:bidi w:val="0"/>
              <w:spacing w:before="0" w:after="283"/>
              <w:jc w:val="left"/>
              <w:rPr/>
            </w:pPr>
            <w:r>
              <w:rPr/>
              <w:t> </w:t>
            </w:r>
          </w:p>
        </w:tc>
      </w:tr>
      <w:tr>
        <w:trPr/>
        <w:tc>
          <w:tcPr>
            <w:tcW w:w="2520" w:type="dxa"/>
            <w:tcBorders>
              <w:bottom w:val="single" w:sz="8" w:space="0" w:color="000000"/>
            </w:tcBorders>
            <w:tcMar>
              <w:bottom w:w="28" w:type="dxa"/>
            </w:tcMar>
            <w:vAlign w:val="center"/>
          </w:tcPr>
          <w:p>
            <w:pPr>
              <w:pStyle w:val="TableContents"/>
              <w:bidi w:val="0"/>
              <w:spacing w:before="0" w:after="283"/>
              <w:jc w:val="left"/>
              <w:rPr>
                <w:b/>
              </w:rPr>
            </w:pPr>
            <w:r>
              <w:rPr>
                <w:b/>
              </w:rPr>
              <w:t>Name and Principal Position</w:t>
            </w:r>
          </w:p>
        </w:tc>
        <w:tc>
          <w:tcPr>
            <w:tcW w:w="60" w:type="dxa"/>
            <w:tcBorders/>
            <w:vAlign w:val="center"/>
          </w:tcPr>
          <w:p>
            <w:pPr>
              <w:pStyle w:val="TableContents"/>
              <w:bidi w:val="0"/>
              <w:spacing w:before="0" w:after="283"/>
              <w:jc w:val="left"/>
              <w:rPr/>
            </w:pPr>
            <w:r>
              <w:rPr/>
              <w:t> </w:t>
            </w:r>
          </w:p>
        </w:tc>
        <w:tc>
          <w:tcPr>
            <w:tcW w:w="530" w:type="dxa"/>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position w:val="7"/>
                <w:sz w:val="16"/>
                <w:sz w:val="20"/>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20" w:type="dxa"/>
            <w:tcBorders/>
            <w:shd w:fill="CCEEFF" w:val="clear"/>
            <w:vAlign w:val="center"/>
          </w:tcPr>
          <w:p>
            <w:pPr>
              <w:pStyle w:val="TableContents"/>
              <w:bidi w:val="0"/>
              <w:spacing w:before="0" w:after="283"/>
              <w:jc w:val="left"/>
              <w:rPr/>
            </w:pPr>
            <w:r>
              <w:rPr/>
              <w:t>David L. Fischel</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64,390</w:t>
            </w:r>
          </w:p>
        </w:tc>
        <w:tc>
          <w:tcPr>
            <w:tcW w:w="75" w:type="dxa"/>
            <w:tcBorders/>
            <w:shd w:fill="CCEEFF" w:val="clear"/>
            <w:vAlign w:val="center"/>
          </w:tcPr>
          <w:p>
            <w:pPr>
              <w:pStyle w:val="TableContents"/>
              <w:bidi w:val="0"/>
              <w:spacing w:before="0" w:after="283"/>
              <w:jc w:val="left"/>
              <w:rPr/>
            </w:pPr>
            <w:r>
              <w:rPr/>
              <w:t> </w:t>
            </w:r>
          </w:p>
        </w:tc>
      </w:tr>
      <w:tr>
        <w:trPr/>
        <w:tc>
          <w:tcPr>
            <w:tcW w:w="2520" w:type="dxa"/>
            <w:tcBorders/>
            <w:shd w:fill="CCEEFF" w:val="clear"/>
            <w:vAlign w:val="center"/>
          </w:tcPr>
          <w:p>
            <w:pPr>
              <w:pStyle w:val="TableContents"/>
              <w:bidi w:val="0"/>
              <w:spacing w:before="0" w:after="283"/>
              <w:jc w:val="left"/>
              <w:rPr/>
            </w:pPr>
            <w:r>
              <w:rPr/>
              <w:t>Chief Executive Officer</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62,195</w:t>
            </w:r>
          </w:p>
        </w:tc>
        <w:tc>
          <w:tcPr>
            <w:tcW w:w="75" w:type="dxa"/>
            <w:tcBorders/>
            <w:shd w:fill="CCEEFF" w:val="clear"/>
            <w:vAlign w:val="center"/>
          </w:tcPr>
          <w:p>
            <w:pPr>
              <w:pStyle w:val="TableContents"/>
              <w:bidi w:val="0"/>
              <w:spacing w:before="0" w:after="283"/>
              <w:jc w:val="left"/>
              <w:rPr/>
            </w:pPr>
            <w:r>
              <w:rPr/>
              <w:t> </w:t>
            </w:r>
          </w:p>
        </w:tc>
      </w:tr>
      <w:tr>
        <w:trPr/>
        <w:tc>
          <w:tcPr>
            <w:tcW w:w="2520" w:type="dxa"/>
            <w:tcBorders/>
            <w:shd w:fill="FFFFFF" w:val="clear"/>
            <w:vAlign w:val="center"/>
          </w:tcPr>
          <w:p>
            <w:pPr>
              <w:pStyle w:val="TableContents"/>
              <w:bidi w:val="0"/>
              <w:spacing w:before="0" w:after="283"/>
              <w:jc w:val="left"/>
              <w:rPr/>
            </w:pPr>
            <w:r>
              <w:rPr/>
              <w:t>Kimberly R. Peery</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55,400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18,211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326,111</w:t>
            </w:r>
          </w:p>
        </w:tc>
        <w:tc>
          <w:tcPr>
            <w:tcW w:w="75" w:type="dxa"/>
            <w:tcBorders/>
            <w:shd w:fill="FFFFFF" w:val="clear"/>
            <w:vAlign w:val="center"/>
          </w:tcPr>
          <w:p>
            <w:pPr>
              <w:pStyle w:val="TableContents"/>
              <w:bidi w:val="0"/>
              <w:spacing w:before="0" w:after="283"/>
              <w:jc w:val="left"/>
              <w:rPr/>
            </w:pPr>
            <w:r>
              <w:rPr/>
              <w:t> </w:t>
            </w:r>
          </w:p>
        </w:tc>
      </w:tr>
      <w:tr>
        <w:trPr/>
        <w:tc>
          <w:tcPr>
            <w:tcW w:w="2520" w:type="dxa"/>
            <w:tcBorders/>
            <w:shd w:fill="FFFFFF" w:val="clear"/>
            <w:vAlign w:val="center"/>
          </w:tcPr>
          <w:p>
            <w:pPr>
              <w:pStyle w:val="TableContents"/>
              <w:bidi w:val="0"/>
              <w:spacing w:before="0" w:after="283"/>
              <w:jc w:val="left"/>
              <w:rPr/>
            </w:pPr>
            <w:r>
              <w:rPr/>
              <w:t>Chief Financial Officer</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226,750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84,520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8,895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340,165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reflect the aggregate grant date fair value of awards granted during the year computed in accordance with ASC 718, Compensation-Stock Compensation. These awards consist of grants of incentive stock options. See Note 9 of the notes to our consolidated financial statements contained in our 2025 Annual Report on Form 10-K for a discussion of all assumptions made by us in determining the ASC 718, Compensation-Stock Compensation values of our equity awards. These amounts reflect the aggregate grant date fair value for these awards and do not correspond to the actual value that will be recognized by the Named Executive Officers.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represent cash awards earned during the respective fiscal year under the applicable annual incentive programs, irrespective of the year in which they were actually paid.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includes the payment of group term life insurance premiums and employer match contributions to the executive’s 401(k) plan earned in the respective fiscal year.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 w:name="a_010"/>
      <w:bookmarkEnd w:id="19"/>
      <w:r>
        <w:rPr>
          <w:rFonts w:ascii="Times New Roman;Times;Serif" w:hAnsi="Times New Roman;Times;Serif"/>
          <w:b/>
          <w:i/>
          <w:caps w:val="false"/>
          <w:smallCaps w:val="false"/>
          <w:sz w:val="20"/>
        </w:rPr>
        <w:t>Outstanding Equity Awards at Fiscal Year-End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51"/>
        <w:gridCol w:w="60"/>
        <w:gridCol w:w="60"/>
        <w:gridCol w:w="842"/>
        <w:gridCol w:w="283"/>
        <w:gridCol w:w="60"/>
        <w:gridCol w:w="69"/>
        <w:gridCol w:w="1196"/>
        <w:gridCol w:w="60"/>
        <w:gridCol w:w="60"/>
        <w:gridCol w:w="60"/>
        <w:gridCol w:w="1377"/>
        <w:gridCol w:w="60"/>
        <w:gridCol w:w="60"/>
        <w:gridCol w:w="90"/>
        <w:gridCol w:w="665"/>
        <w:gridCol w:w="60"/>
        <w:gridCol w:w="60"/>
        <w:gridCol w:w="1115"/>
        <w:gridCol w:w="60"/>
        <w:gridCol w:w="60"/>
        <w:gridCol w:w="1340"/>
        <w:gridCol w:w="60"/>
        <w:gridCol w:w="60"/>
        <w:gridCol w:w="60"/>
        <w:gridCol w:w="1100"/>
        <w:gridCol w:w="77"/>
      </w:tblGrid>
      <w:tr>
        <w:trPr/>
        <w:tc>
          <w:tcPr>
            <w:tcW w:w="11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77" w:type="dxa"/>
            <w:gridSpan w:val="17"/>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center"/>
              <w:rPr/>
            </w:pPr>
            <w:r>
              <w:rPr/>
              <w:t> </w:t>
            </w:r>
          </w:p>
        </w:tc>
        <w:tc>
          <w:tcPr>
            <w:tcW w:w="26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7" w:type="dxa"/>
            <w:tcBorders/>
            <w:vAlign w:val="center"/>
          </w:tcPr>
          <w:p>
            <w:pPr>
              <w:pStyle w:val="TableContents"/>
              <w:bidi w:val="0"/>
              <w:spacing w:before="0" w:after="283"/>
              <w:jc w:val="center"/>
              <w:rPr/>
            </w:pPr>
            <w:r>
              <w:rPr/>
              <w:t> </w:t>
            </w:r>
          </w:p>
        </w:tc>
      </w:tr>
      <w:tr>
        <w:trPr/>
        <w:tc>
          <w:tcPr>
            <w:tcW w:w="1151" w:type="dxa"/>
            <w:tcBorders/>
            <w:vAlign w:val="center"/>
          </w:tcPr>
          <w:p>
            <w:pPr>
              <w:pStyle w:val="TableContents"/>
              <w:bidi w:val="0"/>
              <w:spacing w:before="0" w:after="283"/>
              <w:jc w:val="center"/>
              <w:rPr>
                <w:b/>
              </w:rPr>
            </w:pPr>
            <w:r>
              <w:rPr>
                <w:b/>
              </w:rPr>
              <w:t>Named</w:t>
            </w:r>
          </w:p>
        </w:tc>
        <w:tc>
          <w:tcPr>
            <w:tcW w:w="60" w:type="dxa"/>
            <w:tcBorders/>
            <w:vAlign w:val="center"/>
          </w:tcPr>
          <w:p>
            <w:pPr>
              <w:pStyle w:val="TableContents"/>
              <w:bidi w:val="0"/>
              <w:spacing w:before="0" w:after="283"/>
              <w:jc w:val="center"/>
              <w:rPr/>
            </w:pPr>
            <w:r>
              <w:rPr/>
              <w:t> </w:t>
            </w:r>
          </w:p>
        </w:tc>
        <w:tc>
          <w:tcPr>
            <w:tcW w:w="902" w:type="dxa"/>
            <w:gridSpan w:val="2"/>
            <w:tcBorders/>
            <w:vAlign w:val="center"/>
          </w:tcPr>
          <w:p>
            <w:pPr>
              <w:pStyle w:val="TableContents"/>
              <w:bidi w:val="0"/>
              <w:spacing w:before="0" w:after="283"/>
              <w:jc w:val="center"/>
              <w:rPr/>
            </w:pPr>
            <w:r>
              <w:rPr/>
              <w:t> </w:t>
            </w:r>
          </w:p>
        </w:tc>
        <w:tc>
          <w:tcPr>
            <w:tcW w:w="283"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1265" w:type="dxa"/>
            <w:gridSpan w:val="2"/>
            <w:tcBorders/>
            <w:vAlign w:val="center"/>
          </w:tcPr>
          <w:p>
            <w:pPr>
              <w:pStyle w:val="TableContents"/>
              <w:bidi w:val="0"/>
              <w:spacing w:before="0" w:after="283"/>
              <w:jc w:val="center"/>
              <w:rPr>
                <w:b/>
              </w:rPr>
            </w:pPr>
            <w:r>
              <w:rPr>
                <w:b/>
              </w:rPr>
              <w:t>Number of</w:t>
              <w:br/>
              <w:t>Securities</w:t>
              <w:br/>
              <w:t>Underlying</w:t>
              <w:br/>
              <w:t>Unexercised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7" w:type="dxa"/>
            <w:gridSpan w:val="2"/>
            <w:tcBorders/>
            <w:vAlign w:val="center"/>
          </w:tcPr>
          <w:p>
            <w:pPr>
              <w:pStyle w:val="TableContents"/>
              <w:bidi w:val="0"/>
              <w:spacing w:before="0" w:after="283"/>
              <w:jc w:val="center"/>
              <w:rPr>
                <w:b/>
              </w:rPr>
            </w:pPr>
            <w:r>
              <w:rPr>
                <w:b/>
              </w:rPr>
              <w:t>Number of</w:t>
              <w:br/>
              <w:t>Securities</w:t>
              <w:br/>
              <w:t>Underlying</w:t>
              <w:br/>
              <w:t>Unexercised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center"/>
              <w:rPr>
                <w:b/>
              </w:rPr>
            </w:pPr>
            <w:r>
              <w:rPr>
                <w:b/>
              </w:rPr>
              <w:t>Option</w:t>
            </w:r>
          </w:p>
        </w:tc>
        <w:tc>
          <w:tcPr>
            <w:tcW w:w="60" w:type="dxa"/>
            <w:tcBorders/>
            <w:vAlign w:val="center"/>
          </w:tcPr>
          <w:p>
            <w:pPr>
              <w:pStyle w:val="TableContents"/>
              <w:bidi w:val="0"/>
              <w:spacing w:before="0" w:after="283"/>
              <w:jc w:val="center"/>
              <w:rPr/>
            </w:pPr>
            <w:r>
              <w:rPr/>
              <w:t> </w:t>
            </w:r>
          </w:p>
        </w:tc>
        <w:tc>
          <w:tcPr>
            <w:tcW w:w="1400" w:type="dxa"/>
            <w:gridSpan w:val="2"/>
            <w:tcBorders/>
            <w:vAlign w:val="center"/>
          </w:tcPr>
          <w:p>
            <w:pPr>
              <w:pStyle w:val="TableContents"/>
              <w:bidi w:val="0"/>
              <w:spacing w:before="0" w:after="283"/>
              <w:jc w:val="center"/>
              <w:rPr>
                <w:b/>
              </w:rPr>
            </w:pPr>
            <w:r>
              <w:rPr>
                <w:b/>
              </w:rPr>
              <w:t>Number of</w:t>
              <w:br/>
              <w:t>Shares or</w:t>
              <w:br/>
              <w:t>Units of</w:t>
              <w:br/>
              <w:t>Stock That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b/>
              </w:rPr>
            </w:pPr>
            <w:r>
              <w:rPr>
                <w:b/>
              </w:rPr>
              <w:t>Market</w:t>
              <w:br/>
              <w:t>Value of</w:t>
              <w:br/>
              <w:t>Shares or</w:t>
              <w:br/>
              <w:t>Units of</w:t>
              <w:br/>
              <w:t>Stock That</w:t>
              <w:br/>
              <w:t>Have Not</w:t>
            </w:r>
          </w:p>
        </w:tc>
        <w:tc>
          <w:tcPr>
            <w:tcW w:w="77" w:type="dxa"/>
            <w:tcBorders/>
            <w:vAlign w:val="center"/>
          </w:tcPr>
          <w:p>
            <w:pPr>
              <w:pStyle w:val="TableContents"/>
              <w:bidi w:val="0"/>
              <w:spacing w:before="0" w:after="283"/>
              <w:jc w:val="center"/>
              <w:rPr/>
            </w:pPr>
            <w:r>
              <w:rPr/>
              <w:t> </w:t>
            </w:r>
          </w:p>
        </w:tc>
      </w:tr>
      <w:tr>
        <w:trPr/>
        <w:tc>
          <w:tcPr>
            <w:tcW w:w="1151" w:type="dxa"/>
            <w:tcBorders/>
            <w:vAlign w:val="center"/>
          </w:tcPr>
          <w:p>
            <w:pPr>
              <w:pStyle w:val="TableContents"/>
              <w:bidi w:val="0"/>
              <w:spacing w:before="0" w:after="283"/>
              <w:jc w:val="center"/>
              <w:rPr>
                <w:b/>
              </w:rPr>
            </w:pPr>
            <w:r>
              <w:rPr>
                <w:b/>
              </w:rPr>
              <w:t>Executive</w:t>
            </w:r>
          </w:p>
        </w:tc>
        <w:tc>
          <w:tcPr>
            <w:tcW w:w="60" w:type="dxa"/>
            <w:tcBorders/>
            <w:vAlign w:val="center"/>
          </w:tcPr>
          <w:p>
            <w:pPr>
              <w:pStyle w:val="TableContents"/>
              <w:bidi w:val="0"/>
              <w:spacing w:before="0" w:after="283"/>
              <w:jc w:val="center"/>
              <w:rPr/>
            </w:pPr>
            <w:r>
              <w:rPr/>
              <w:t> </w:t>
            </w:r>
          </w:p>
        </w:tc>
        <w:tc>
          <w:tcPr>
            <w:tcW w:w="902" w:type="dxa"/>
            <w:gridSpan w:val="2"/>
            <w:tcBorders/>
            <w:vAlign w:val="center"/>
          </w:tcPr>
          <w:p>
            <w:pPr>
              <w:pStyle w:val="TableContents"/>
              <w:bidi w:val="0"/>
              <w:spacing w:before="0" w:after="283"/>
              <w:jc w:val="center"/>
              <w:rPr>
                <w:b/>
              </w:rPr>
            </w:pPr>
            <w:r>
              <w:rPr>
                <w:b/>
              </w:rPr>
              <w:t>Date of</w:t>
            </w:r>
          </w:p>
        </w:tc>
        <w:tc>
          <w:tcPr>
            <w:tcW w:w="283"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1265" w:type="dxa"/>
            <w:gridSpan w:val="2"/>
            <w:tcBorders/>
            <w:vAlign w:val="center"/>
          </w:tcPr>
          <w:p>
            <w:pPr>
              <w:pStyle w:val="TableContents"/>
              <w:bidi w:val="0"/>
              <w:spacing w:before="0" w:after="283"/>
              <w:jc w:val="center"/>
              <w:rPr>
                <w:b/>
              </w:rPr>
            </w:pPr>
            <w:r>
              <w:rPr>
                <w:b/>
              </w:rPr>
              <w:t>Options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7" w:type="dxa"/>
            <w:gridSpan w:val="2"/>
            <w:tcBorders/>
            <w:vAlign w:val="center"/>
          </w:tcPr>
          <w:p>
            <w:pPr>
              <w:pStyle w:val="TableContents"/>
              <w:bidi w:val="0"/>
              <w:spacing w:before="0" w:after="283"/>
              <w:jc w:val="center"/>
              <w:rPr>
                <w:b/>
              </w:rPr>
            </w:pPr>
            <w:r>
              <w:rPr>
                <w:b/>
              </w:rPr>
              <w:t>Options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center"/>
              <w:rPr>
                <w:b/>
              </w:rPr>
            </w:pPr>
            <w:r>
              <w:rPr>
                <w:b/>
              </w:rPr>
              <w:t>Expiration</w:t>
            </w:r>
          </w:p>
        </w:tc>
        <w:tc>
          <w:tcPr>
            <w:tcW w:w="60" w:type="dxa"/>
            <w:tcBorders/>
            <w:vAlign w:val="center"/>
          </w:tcPr>
          <w:p>
            <w:pPr>
              <w:pStyle w:val="TableContents"/>
              <w:bidi w:val="0"/>
              <w:spacing w:before="0" w:after="283"/>
              <w:jc w:val="center"/>
              <w:rPr/>
            </w:pPr>
            <w:r>
              <w:rPr/>
              <w:t> </w:t>
            </w:r>
          </w:p>
        </w:tc>
        <w:tc>
          <w:tcPr>
            <w:tcW w:w="1400" w:type="dxa"/>
            <w:gridSpan w:val="2"/>
            <w:tcBorders/>
            <w:vAlign w:val="center"/>
          </w:tcPr>
          <w:p>
            <w:pPr>
              <w:pStyle w:val="TableContents"/>
              <w:bidi w:val="0"/>
              <w:spacing w:before="0" w:after="283"/>
              <w:jc w:val="center"/>
              <w:rPr>
                <w:b/>
              </w:rPr>
            </w:pPr>
            <w:r>
              <w:rPr>
                <w:b/>
              </w:rPr>
              <w:t>Have Not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b/>
              </w:rPr>
            </w:pPr>
            <w:r>
              <w:rPr>
                <w:b/>
              </w:rPr>
              <w:t>Vested</w:t>
            </w:r>
          </w:p>
        </w:tc>
        <w:tc>
          <w:tcPr>
            <w:tcW w:w="77" w:type="dxa"/>
            <w:tcBorders/>
            <w:vAlign w:val="center"/>
          </w:tcPr>
          <w:p>
            <w:pPr>
              <w:pStyle w:val="TableContents"/>
              <w:bidi w:val="0"/>
              <w:spacing w:before="0" w:after="283"/>
              <w:jc w:val="center"/>
              <w:rPr/>
            </w:pPr>
            <w:r>
              <w:rPr/>
              <w:t> </w:t>
            </w:r>
          </w:p>
        </w:tc>
      </w:tr>
      <w:tr>
        <w:trPr/>
        <w:tc>
          <w:tcPr>
            <w:tcW w:w="1151"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Officer</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Award</w:t>
            </w:r>
          </w:p>
        </w:tc>
        <w:tc>
          <w:tcPr>
            <w:tcW w:w="283" w:type="dxa"/>
            <w:tcBorders/>
            <w:shd w:fill="FFFFFF" w:val="clear"/>
            <w:vAlign w:val="center"/>
          </w:tcPr>
          <w:p>
            <w:pPr>
              <w:pStyle w:val="TableContents"/>
              <w:bidi w:val="0"/>
              <w:spacing w:before="0" w:after="283"/>
              <w:jc w:val="center"/>
              <w:rPr>
                <w:position w:val="8"/>
                <w:sz w:val="19"/>
              </w:rPr>
            </w:pPr>
            <w:r>
              <w:rPr>
                <w:position w:val="8"/>
                <w:sz w:val="19"/>
              </w:rPr>
              <w:t> </w:t>
            </w:r>
          </w:p>
        </w:tc>
        <w:tc>
          <w:tcPr>
            <w:tcW w:w="60" w:type="dxa"/>
            <w:tcBorders/>
            <w:shd w:fill="FFFFFF" w:val="clear"/>
            <w:vAlign w:val="center"/>
          </w:tcPr>
          <w:p>
            <w:pPr>
              <w:pStyle w:val="TableContents"/>
              <w:bidi w:val="0"/>
              <w:spacing w:before="0" w:after="283"/>
              <w:jc w:val="center"/>
              <w:rPr/>
            </w:pPr>
            <w:r>
              <w:rPr/>
              <w:t> </w:t>
            </w:r>
          </w:p>
        </w:tc>
        <w:tc>
          <w:tcPr>
            <w:tcW w:w="69" w:type="dxa"/>
            <w:tcBorders/>
            <w:shd w:fill="FFFFFF" w:val="clear"/>
            <w:vAlign w:val="center"/>
          </w:tcPr>
          <w:p>
            <w:pPr>
              <w:pStyle w:val="TableContents"/>
              <w:bidi w:val="0"/>
              <w:spacing w:before="0" w:after="283"/>
              <w:jc w:val="center"/>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Exercisable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7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Unexercisable</w:t>
            </w:r>
            <w:r>
              <w:rPr>
                <w:rFonts w:ascii="Times New Roman;Times;Serif" w:hAnsi="Times New Roman;Times;Serif"/>
                <w:b/>
                <w:position w:val="7"/>
                <w:sz w:val="16"/>
                <w:sz w:val="20"/>
              </w:rPr>
              <w:t>(1)</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Date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Vested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position w:val="7"/>
                <w:sz w:val="16"/>
                <w:sz w:val="20"/>
              </w:rPr>
              <w:t>(2)</w:t>
            </w:r>
          </w:p>
        </w:tc>
        <w:tc>
          <w:tcPr>
            <w:tcW w:w="77" w:type="dxa"/>
            <w:tcBorders/>
            <w:shd w:fill="FFFFFF" w:val="clear"/>
            <w:vAlign w:val="center"/>
          </w:tcPr>
          <w:p>
            <w:pPr>
              <w:pStyle w:val="TableContents"/>
              <w:bidi w:val="0"/>
              <w:spacing w:before="0" w:after="283"/>
              <w:jc w:val="center"/>
              <w:rPr/>
            </w:pPr>
            <w:r>
              <w:rPr/>
              <w:t> </w:t>
            </w:r>
          </w:p>
        </w:tc>
      </w:tr>
      <w:tr>
        <w:trPr/>
        <w:tc>
          <w:tcPr>
            <w:tcW w:w="1151" w:type="dxa"/>
            <w:tcBorders/>
            <w:shd w:fill="CCEEFF" w:val="clear"/>
            <w:vAlign w:val="center"/>
          </w:tcPr>
          <w:p>
            <w:pPr>
              <w:pStyle w:val="TableContents"/>
              <w:bidi w:val="0"/>
              <w:spacing w:before="0" w:after="283"/>
              <w:jc w:val="left"/>
              <w:rPr/>
            </w:pPr>
            <w:r>
              <w:rPr/>
              <w:t>David 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1/4/2021</w:t>
            </w:r>
          </w:p>
        </w:tc>
        <w:tc>
          <w:tcPr>
            <w:tcW w:w="283"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r>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57,500</w:t>
            </w:r>
          </w:p>
        </w:tc>
        <w:tc>
          <w:tcPr>
            <w:tcW w:w="77" w:type="dxa"/>
            <w:tcBorders/>
            <w:shd w:fill="CCEEFF" w:val="clear"/>
            <w:vAlign w:val="center"/>
          </w:tcPr>
          <w:p>
            <w:pPr>
              <w:pStyle w:val="TableContents"/>
              <w:bidi w:val="0"/>
              <w:spacing w:before="0" w:after="283"/>
              <w:jc w:val="left"/>
              <w:rPr/>
            </w:pPr>
            <w:r>
              <w:rPr/>
              <w:t> </w:t>
            </w:r>
          </w:p>
        </w:tc>
      </w:tr>
      <w:tr>
        <w:trPr/>
        <w:tc>
          <w:tcPr>
            <w:tcW w:w="1151" w:type="dxa"/>
            <w:tcBorders/>
            <w:shd w:fill="CCEEFF" w:val="clear"/>
            <w:vAlign w:val="center"/>
          </w:tcPr>
          <w:p>
            <w:pPr>
              <w:pStyle w:val="TableContents"/>
              <w:bidi w:val="0"/>
              <w:spacing w:before="0" w:after="283"/>
              <w:jc w:val="left"/>
              <w:rPr/>
            </w:pPr>
            <w:r>
              <w:rPr/>
              <w:t>Fischel</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2/27/2021</w:t>
            </w:r>
          </w:p>
        </w:tc>
        <w:tc>
          <w:tcPr>
            <w:tcW w:w="283"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13,000,000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29,900,000</w:t>
            </w:r>
          </w:p>
        </w:tc>
        <w:tc>
          <w:tcPr>
            <w:tcW w:w="77" w:type="dxa"/>
            <w:tcBorders/>
            <w:shd w:fill="CCEEFF" w:val="clear"/>
            <w:vAlign w:val="center"/>
          </w:tcPr>
          <w:p>
            <w:pPr>
              <w:pStyle w:val="TableContents"/>
              <w:bidi w:val="0"/>
              <w:spacing w:before="0" w:after="283"/>
              <w:jc w:val="left"/>
              <w:rPr/>
            </w:pPr>
            <w:r>
              <w:rPr/>
              <w:t> </w:t>
            </w:r>
          </w:p>
        </w:tc>
      </w:tr>
      <w:tr>
        <w:trPr/>
        <w:tc>
          <w:tcPr>
            <w:tcW w:w="1151" w:type="dxa"/>
            <w:tcBorders/>
            <w:shd w:fill="FFFFFF" w:val="clear"/>
            <w:vAlign w:val="center"/>
          </w:tcPr>
          <w:p>
            <w:pPr>
              <w:pStyle w:val="TableContents"/>
              <w:bidi w:val="0"/>
              <w:spacing w:before="0" w:after="283"/>
              <w:jc w:val="left"/>
              <w:rPr/>
            </w:pPr>
            <w:r>
              <w:rPr/>
              <w:t>Kimberly 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2/26/2018</w:t>
            </w:r>
          </w:p>
        </w:tc>
        <w:tc>
          <w:tcPr>
            <w:tcW w:w="283"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15,750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0.74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2/26/2028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1151" w:type="dxa"/>
            <w:tcBorders/>
            <w:shd w:fill="FFFFFF" w:val="clear"/>
            <w:vAlign w:val="center"/>
          </w:tcPr>
          <w:p>
            <w:pPr>
              <w:pStyle w:val="TableContents"/>
              <w:bidi w:val="0"/>
              <w:spacing w:before="0" w:after="283"/>
              <w:jc w:val="left"/>
              <w:rPr/>
            </w:pPr>
            <w:r>
              <w:rPr/>
              <w:t>Peery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3/3/2019</w:t>
            </w:r>
          </w:p>
        </w:tc>
        <w:tc>
          <w:tcPr>
            <w:tcW w:w="283"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3/3/2029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1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3/9/2020</w:t>
            </w:r>
          </w:p>
        </w:tc>
        <w:tc>
          <w:tcPr>
            <w:tcW w:w="283"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3/9/2030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1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3/8/2021</w:t>
            </w:r>
          </w:p>
        </w:tc>
        <w:tc>
          <w:tcPr>
            <w:tcW w:w="283"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3/8/2031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1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2/25/2022</w:t>
            </w:r>
          </w:p>
        </w:tc>
        <w:tc>
          <w:tcPr>
            <w:tcW w:w="283"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38,356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pPr>
            <w:r>
              <w:rPr/>
              <w:t>1,644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2/25/2032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1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3/1/2023</w:t>
            </w:r>
          </w:p>
        </w:tc>
        <w:tc>
          <w:tcPr>
            <w:tcW w:w="283"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28,348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pPr>
            <w:r>
              <w:rPr/>
              <w:t>11,652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3/1/2033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1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4/2/2024</w:t>
            </w:r>
          </w:p>
        </w:tc>
        <w:tc>
          <w:tcPr>
            <w:tcW w:w="283"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16,672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pPr>
            <w:r>
              <w:rPr/>
              <w:t>23,328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4/2/2034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1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4/8/2025</w:t>
            </w:r>
          </w:p>
        </w:tc>
        <w:tc>
          <w:tcPr>
            <w:tcW w:w="283"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4/8/2035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appearing in this column represent the total number of options that have not vested as of December 31, 2025. Options granted to the Named Executive Officers, vest at the rate of 25% one year from the date of grant, and thereafter in 36 equal monthly installments.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left"/>
              <w:rPr>
                <w:caps w:val="false"/>
                <w:smallCaps w:val="false"/>
              </w:rPr>
            </w:pPr>
            <w:r>
              <w:rPr>
                <w:caps w:val="false"/>
                <w:smallCaps w:val="false"/>
              </w:rPr>
              <w:t> </w:t>
            </w:r>
          </w:p>
        </w:tc>
        <w:tc>
          <w:tcPr>
            <w:tcW w:w="992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closing price of $2.30 for the shares of our common stock on December 31, 2025.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left"/>
              <w:rPr>
                <w:caps w:val="false"/>
                <w:smallCaps w:val="false"/>
              </w:rPr>
            </w:pPr>
            <w:r>
              <w:rPr>
                <w:caps w:val="false"/>
                <w:smallCaps w:val="false"/>
              </w:rPr>
              <w:t> </w:t>
            </w:r>
          </w:p>
        </w:tc>
        <w:tc>
          <w:tcPr>
            <w:tcW w:w="992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December 1, 2020, Mr. Fischel received compensation as a “non-employee director” under our compensation program for non-employee directors described under “Director Compensation” above.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left"/>
              <w:rPr>
                <w:caps w:val="false"/>
                <w:smallCaps w:val="false"/>
              </w:rPr>
            </w:pPr>
            <w:r>
              <w:rPr>
                <w:caps w:val="false"/>
                <w:smallCaps w:val="false"/>
              </w:rPr>
              <w:t> </w:t>
            </w:r>
          </w:p>
        </w:tc>
        <w:tc>
          <w:tcPr>
            <w:tcW w:w="992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Mr. Fischel has not achieved any of the performance milestones established by the 2021 CEO Incentive Program and has not received any awards under that program.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1"/>
      <w:bookmarkEnd w:id="20"/>
      <w:r>
        <w:rPr>
          <w:rFonts w:ascii="Times New Roman;Times;Serif" w:hAnsi="Times New Roman;Times;Serif"/>
          <w:b/>
          <w:i w:val="false"/>
          <w:caps w:val="false"/>
          <w:smallCaps w:val="false"/>
          <w:sz w:val="20"/>
        </w:rPr>
        <w:t>PAY VERSUS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The Compensation Committee did not consider the pay versus performance disclosure below in making its pay decisions for any of the fiscal years shown.</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 w:name="xdx_883_eecd--PvpTableTextBlock_zF7QhtBY"/>
      <w:bookmarkStart w:id="22" w:name="xdx_883_eecd--PvpTableTextBlock_zF7QhtBY"/>
      <w:bookmarkEnd w:id="22"/>
    </w:p>
    <w:tbl>
      <w:tblPr>
        <w:tblW w:w="10205" w:type="dxa"/>
        <w:jc w:val="left"/>
        <w:tblInd w:w="0" w:type="dxa"/>
        <w:tblLayout w:type="fixed"/>
        <w:tblCellMar>
          <w:top w:w="0" w:type="dxa"/>
          <w:left w:w="0" w:type="dxa"/>
          <w:bottom w:w="28" w:type="dxa"/>
          <w:right w:w="0" w:type="dxa"/>
        </w:tblCellMar>
      </w:tblPr>
      <w:tblGrid>
        <w:gridCol w:w="545"/>
        <w:gridCol w:w="60"/>
        <w:gridCol w:w="308"/>
        <w:gridCol w:w="1502"/>
        <w:gridCol w:w="60"/>
        <w:gridCol w:w="60"/>
        <w:gridCol w:w="156"/>
        <w:gridCol w:w="1182"/>
        <w:gridCol w:w="95"/>
        <w:gridCol w:w="60"/>
        <w:gridCol w:w="283"/>
        <w:gridCol w:w="1627"/>
        <w:gridCol w:w="60"/>
        <w:gridCol w:w="60"/>
        <w:gridCol w:w="211"/>
        <w:gridCol w:w="1213"/>
        <w:gridCol w:w="60"/>
        <w:gridCol w:w="60"/>
        <w:gridCol w:w="235"/>
        <w:gridCol w:w="1147"/>
        <w:gridCol w:w="60"/>
        <w:gridCol w:w="60"/>
        <w:gridCol w:w="144"/>
        <w:gridCol w:w="842"/>
        <w:gridCol w:w="115"/>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bookmarkStart w:id="23" w:name="xdx_484_eecd--PeoTotalCompAmt_zIwg7ypWLi"/>
            <w:bookmarkEnd w:id="23"/>
          </w:p>
        </w:tc>
        <w:tc>
          <w:tcPr>
            <w:tcW w:w="1810" w:type="dxa"/>
            <w:gridSpan w:val="2"/>
            <w:tcBorders>
              <w:bottom w:val="single" w:sz="8" w:space="0" w:color="000000"/>
            </w:tcBorders>
            <w:vAlign w:val="center"/>
          </w:tcPr>
          <w:p>
            <w:pPr>
              <w:pStyle w:val="TableContents"/>
              <w:bidi w:val="0"/>
              <w:spacing w:before="0" w:after="283"/>
              <w:jc w:val="center"/>
              <w:rPr>
                <w:b/>
              </w:rPr>
            </w:pPr>
            <w:r>
              <w:rPr>
                <w:b/>
              </w:rPr>
              <w:t>Summary Compensation Table Total for Principal Executive Officer (“PEO”)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4" w:name="xdx_489_eecd--PeoActuallyPaidCompAmt_zGY"/>
            <w:bookmarkEnd w:id="24"/>
          </w:p>
        </w:tc>
        <w:tc>
          <w:tcPr>
            <w:tcW w:w="133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 Actually Paid to PEO</w:t>
            </w:r>
            <w:bookmarkStart w:id="25" w:name="xdx_F50_zwNkJv23IAy9"/>
            <w:bookmarkEnd w:id="25"/>
            <w:r>
              <w:rPr>
                <w:rFonts w:ascii="Times New Roman;Times;Serif" w:hAnsi="Times New Roman;Times;Serif"/>
                <w:b/>
                <w:sz w:val="20"/>
              </w:rPr>
              <w:t>(1)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6" w:name="xdx_48A_eecd--NonPeoNeoAvgTotalCompAmt_z"/>
            <w:bookmarkEnd w:id="26"/>
          </w:p>
        </w:tc>
        <w:tc>
          <w:tcPr>
            <w:tcW w:w="1910" w:type="dxa"/>
            <w:gridSpan w:val="2"/>
            <w:tcBorders>
              <w:bottom w:val="single" w:sz="8" w:space="0" w:color="000000"/>
            </w:tcBorders>
            <w:vAlign w:val="center"/>
          </w:tcPr>
          <w:p>
            <w:pPr>
              <w:pStyle w:val="TableContents"/>
              <w:bidi w:val="0"/>
              <w:spacing w:before="0" w:after="283"/>
              <w:jc w:val="center"/>
              <w:rPr>
                <w:b/>
              </w:rPr>
            </w:pPr>
            <w:r>
              <w:rPr>
                <w:b/>
              </w:rPr>
              <w:t>Average Summary Compensation Table Total for Non-PEO Named Executive Officers (“NEOs”)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7" w:name="xdx_48B_eecd--NonPeoNeoAvgCompActuallyPa"/>
            <w:bookmarkEnd w:id="27"/>
          </w:p>
        </w:tc>
        <w:tc>
          <w:tcPr>
            <w:tcW w:w="14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Compensation Actually Paid to Non-PEO NEOs</w:t>
            </w:r>
            <w:bookmarkStart w:id="28" w:name="xdx_F54_zUJ4b8lAIMyd"/>
            <w:bookmarkEnd w:id="28"/>
            <w:r>
              <w:rPr>
                <w:rFonts w:ascii="Times New Roman;Times;Serif" w:hAnsi="Times New Roman;Times;Serif"/>
                <w:b/>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9" w:name="xdx_489_eecd--TotalShareholderRtnAmt_pp2"/>
            <w:bookmarkEnd w:id="29"/>
          </w:p>
        </w:tc>
        <w:tc>
          <w:tcPr>
            <w:tcW w:w="138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Value of Initial Fixed $100 Investment Based On Total Shareholder Return (“TSR”)</w:t>
            </w:r>
            <w:bookmarkStart w:id="30" w:name="xdx_F5C_zEajSoEd6nz1"/>
            <w:bookmarkEnd w:id="30"/>
            <w:r>
              <w:rPr>
                <w:rFonts w:ascii="Times New Roman;Times;Serif" w:hAnsi="Times New Roman;Times;Serif"/>
                <w:b/>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1" w:name="xdx_486_eus-gaap--NetIncomeLoss_pn4n6_zU"/>
            <w:bookmarkEnd w:id="31"/>
          </w:p>
        </w:tc>
        <w:tc>
          <w:tcPr>
            <w:tcW w:w="98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 Income</w:t>
              <w:br/>
              <w:t>(Loss)</w:t>
            </w:r>
            <w:bookmarkStart w:id="32" w:name="xdx_F5B_z5kEPk12LG19"/>
            <w:bookmarkEnd w:id="32"/>
            <w:r>
              <w:rPr>
                <w:rFonts w:ascii="Times New Roman;Times;Serif" w:hAnsi="Times New Roman;Times;Serif"/>
                <w:b/>
                <w:sz w:val="20"/>
              </w:rPr>
              <w:t>(3) (millions)</w:t>
            </w:r>
          </w:p>
        </w:tc>
        <w:tc>
          <w:tcPr>
            <w:tcW w:w="115" w:type="dxa"/>
            <w:tcBorders/>
            <w:tcMar>
              <w:bottom w:w="0" w:type="dxa"/>
            </w:tcMar>
            <w:vAlign w:val="center"/>
          </w:tcPr>
          <w:p>
            <w:pPr>
              <w:pStyle w:val="TableContents"/>
              <w:bidi w:val="0"/>
              <w:spacing w:before="0" w:after="283"/>
              <w:jc w:val="left"/>
              <w:rPr/>
            </w:pPr>
            <w:r>
              <w:rPr/>
              <w:t> </w:t>
            </w:r>
            <w:bookmarkStart w:id="33" w:name="xdx_413_20250101__20251231_zcfFNMDMFEH2"/>
            <w:bookmarkEnd w:id="33"/>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w:t>
            </w:r>
          </w:p>
        </w:tc>
        <w:tc>
          <w:tcPr>
            <w:tcW w:w="1502" w:type="dxa"/>
            <w:tcBorders/>
            <w:shd w:fill="CCEEFF" w:val="clear"/>
            <w:tcMar>
              <w:bottom w:w="0" w:type="dxa"/>
            </w:tcMar>
            <w:vAlign w:val="center"/>
          </w:tcPr>
          <w:p>
            <w:pPr>
              <w:pStyle w:val="TableContents"/>
              <w:bidi w:val="0"/>
              <w:spacing w:before="0" w:after="283"/>
              <w:jc w:val="right"/>
              <w:rPr/>
            </w:pPr>
            <w:r>
              <w:rPr/>
              <w:t>64,390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w:t>
            </w:r>
          </w:p>
        </w:tc>
        <w:tc>
          <w:tcPr>
            <w:tcW w:w="1182" w:type="dxa"/>
            <w:tcBorders/>
            <w:shd w:fill="CCEEFF" w:val="clear"/>
            <w:tcMar>
              <w:bottom w:w="0" w:type="dxa"/>
            </w:tcMar>
            <w:vAlign w:val="center"/>
          </w:tcPr>
          <w:p>
            <w:pPr>
              <w:pStyle w:val="TableContents"/>
              <w:bidi w:val="0"/>
              <w:spacing w:before="0" w:after="283"/>
              <w:jc w:val="right"/>
              <w:rPr/>
            </w:pPr>
            <w:r>
              <w:rPr/>
              <w:t>(2,039,630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w:t>
            </w:r>
          </w:p>
        </w:tc>
        <w:tc>
          <w:tcPr>
            <w:tcW w:w="1627" w:type="dxa"/>
            <w:tcBorders/>
            <w:shd w:fill="CCEEFF" w:val="clear"/>
            <w:tcMar>
              <w:bottom w:w="0" w:type="dxa"/>
            </w:tcMar>
            <w:vAlign w:val="center"/>
          </w:tcPr>
          <w:p>
            <w:pPr>
              <w:pStyle w:val="TableContents"/>
              <w:bidi w:val="0"/>
              <w:spacing w:before="0" w:after="283"/>
              <w:jc w:val="right"/>
              <w:rPr/>
            </w:pPr>
            <w:r>
              <w:rPr/>
              <w:t>326,111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1213" w:type="dxa"/>
            <w:tcBorders/>
            <w:shd w:fill="CCEEFF" w:val="clear"/>
            <w:tcMar>
              <w:bottom w:w="0" w:type="dxa"/>
            </w:tcMar>
            <w:vAlign w:val="center"/>
          </w:tcPr>
          <w:p>
            <w:pPr>
              <w:pStyle w:val="TableContents"/>
              <w:bidi w:val="0"/>
              <w:spacing w:before="0" w:after="283"/>
              <w:jc w:val="right"/>
              <w:rPr/>
            </w:pPr>
            <w:r>
              <w:rPr/>
              <w:t>387,069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jc w:val="left"/>
              <w:rPr/>
            </w:pPr>
            <w:r>
              <w:rPr/>
              <w:t>$</w:t>
            </w:r>
          </w:p>
        </w:tc>
        <w:tc>
          <w:tcPr>
            <w:tcW w:w="1147" w:type="dxa"/>
            <w:tcBorders/>
            <w:shd w:fill="CCEEFF" w:val="clear"/>
            <w:tcMar>
              <w:bottom w:w="0" w:type="dxa"/>
            </w:tcMar>
            <w:vAlign w:val="center"/>
          </w:tcPr>
          <w:p>
            <w:pPr>
              <w:pStyle w:val="TableContents"/>
              <w:bidi w:val="0"/>
              <w:spacing w:before="0" w:after="283"/>
              <w:jc w:val="right"/>
              <w:rPr/>
            </w:pPr>
            <w:r>
              <w:rPr/>
              <w:t>111.11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842" w:type="dxa"/>
            <w:tcBorders/>
            <w:shd w:fill="CCEEFF" w:val="clear"/>
            <w:tcMar>
              <w:bottom w:w="0" w:type="dxa"/>
            </w:tcMar>
            <w:vAlign w:val="center"/>
          </w:tcPr>
          <w:p>
            <w:pPr>
              <w:pStyle w:val="TableContents"/>
              <w:bidi w:val="0"/>
              <w:spacing w:before="0" w:after="283"/>
              <w:jc w:val="right"/>
              <w:rPr/>
            </w:pPr>
            <w:r>
              <w:rPr/>
              <w:t>   </w:t>
            </w:r>
            <w:r>
              <w:rPr/>
              <w:t>(21.64</w:t>
            </w:r>
          </w:p>
        </w:tc>
        <w:tc>
          <w:tcPr>
            <w:tcW w:w="115" w:type="dxa"/>
            <w:tcBorders/>
            <w:shd w:fill="CCEEFF" w:val="clear"/>
            <w:tcMar>
              <w:bottom w:w="0" w:type="dxa"/>
            </w:tcMar>
            <w:vAlign w:val="center"/>
          </w:tcPr>
          <w:p>
            <w:pPr>
              <w:pStyle w:val="TableContents"/>
              <w:bidi w:val="0"/>
              <w:spacing w:before="0" w:after="283"/>
              <w:jc w:val="left"/>
              <w:rPr/>
            </w:pPr>
            <w:r>
              <w:rPr/>
              <w:t>)</w:t>
            </w:r>
            <w:bookmarkStart w:id="34" w:name="xdx_41E_20240101__20241231_zAhUsFF2KCz8"/>
            <w:bookmarkEnd w:id="34"/>
          </w:p>
        </w:tc>
      </w:tr>
      <w:tr>
        <w:trPr/>
        <w:tc>
          <w:tcPr>
            <w:tcW w:w="545"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w:t>
            </w:r>
          </w:p>
        </w:tc>
        <w:tc>
          <w:tcPr>
            <w:tcW w:w="1502" w:type="dxa"/>
            <w:tcBorders/>
            <w:shd w:fill="FFFFFF" w:val="clear"/>
            <w:tcMar>
              <w:bottom w:w="0" w:type="dxa"/>
            </w:tcMar>
            <w:vAlign w:val="center"/>
          </w:tcPr>
          <w:p>
            <w:pPr>
              <w:pStyle w:val="TableContents"/>
              <w:bidi w:val="0"/>
              <w:spacing w:before="0" w:after="283"/>
              <w:jc w:val="right"/>
              <w:rPr/>
            </w:pPr>
            <w:r>
              <w:rPr/>
              <w:t>62,195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w:t>
            </w:r>
          </w:p>
        </w:tc>
        <w:tc>
          <w:tcPr>
            <w:tcW w:w="1182" w:type="dxa"/>
            <w:tcBorders/>
            <w:shd w:fill="FFFFFF" w:val="clear"/>
            <w:tcMar>
              <w:bottom w:w="0" w:type="dxa"/>
            </w:tcMar>
            <w:vAlign w:val="center"/>
          </w:tcPr>
          <w:p>
            <w:pPr>
              <w:pStyle w:val="TableContents"/>
              <w:bidi w:val="0"/>
              <w:spacing w:before="0" w:after="283"/>
              <w:jc w:val="right"/>
              <w:rPr/>
            </w:pPr>
            <w:r>
              <w:rPr/>
              <w:t>3,723,190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w:t>
            </w:r>
          </w:p>
        </w:tc>
        <w:tc>
          <w:tcPr>
            <w:tcW w:w="1627" w:type="dxa"/>
            <w:tcBorders/>
            <w:shd w:fill="FFFFFF" w:val="clear"/>
            <w:tcMar>
              <w:bottom w:w="0" w:type="dxa"/>
            </w:tcMar>
            <w:vAlign w:val="center"/>
          </w:tcPr>
          <w:p>
            <w:pPr>
              <w:pStyle w:val="TableContents"/>
              <w:bidi w:val="0"/>
              <w:spacing w:before="0" w:after="283"/>
              <w:jc w:val="right"/>
              <w:rPr/>
            </w:pPr>
            <w:r>
              <w:rPr/>
              <w:t>340,165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p>
        </w:tc>
        <w:tc>
          <w:tcPr>
            <w:tcW w:w="1213" w:type="dxa"/>
            <w:tcBorders/>
            <w:shd w:fill="FFFFFF" w:val="clear"/>
            <w:tcMar>
              <w:bottom w:w="0" w:type="dxa"/>
            </w:tcMar>
            <w:vAlign w:val="center"/>
          </w:tcPr>
          <w:p>
            <w:pPr>
              <w:pStyle w:val="TableContents"/>
              <w:bidi w:val="0"/>
              <w:spacing w:before="0" w:after="283"/>
              <w:jc w:val="right"/>
              <w:rPr/>
            </w:pPr>
            <w:r>
              <w:rPr/>
              <w:t>337,755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 w:type="dxa"/>
            <w:tcBorders/>
            <w:shd w:fill="FFFFFF" w:val="clear"/>
            <w:tcMar>
              <w:bottom w:w="0" w:type="dxa"/>
            </w:tcMar>
            <w:vAlign w:val="center"/>
          </w:tcPr>
          <w:p>
            <w:pPr>
              <w:pStyle w:val="TableContents"/>
              <w:bidi w:val="0"/>
              <w:spacing w:before="0" w:after="283"/>
              <w:jc w:val="left"/>
              <w:rPr/>
            </w:pPr>
            <w:r>
              <w:rPr/>
              <w:t>$</w:t>
            </w:r>
          </w:p>
        </w:tc>
        <w:tc>
          <w:tcPr>
            <w:tcW w:w="1147" w:type="dxa"/>
            <w:tcBorders/>
            <w:shd w:fill="FFFFFF" w:val="clear"/>
            <w:tcMar>
              <w:bottom w:w="0" w:type="dxa"/>
            </w:tcMar>
            <w:vAlign w:val="center"/>
          </w:tcPr>
          <w:p>
            <w:pPr>
              <w:pStyle w:val="TableContents"/>
              <w:bidi w:val="0"/>
              <w:spacing w:before="0" w:after="283"/>
              <w:jc w:val="right"/>
              <w:rPr/>
            </w:pPr>
            <w:r>
              <w:rPr/>
              <w:t>112.08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842" w:type="dxa"/>
            <w:tcBorders/>
            <w:shd w:fill="FFFFFF" w:val="clear"/>
            <w:tcMar>
              <w:bottom w:w="0" w:type="dxa"/>
            </w:tcMar>
            <w:vAlign w:val="center"/>
          </w:tcPr>
          <w:p>
            <w:pPr>
              <w:pStyle w:val="TableContents"/>
              <w:bidi w:val="0"/>
              <w:spacing w:before="0" w:after="283"/>
              <w:jc w:val="right"/>
              <w:rPr/>
            </w:pPr>
            <w:r>
              <w:rPr/>
              <w:t>(24.05</w:t>
            </w:r>
          </w:p>
        </w:tc>
        <w:tc>
          <w:tcPr>
            <w:tcW w:w="115" w:type="dxa"/>
            <w:tcBorders/>
            <w:shd w:fill="FFFFFF" w:val="clear"/>
            <w:tcMar>
              <w:bottom w:w="0" w:type="dxa"/>
            </w:tcMar>
            <w:vAlign w:val="center"/>
          </w:tcPr>
          <w:p>
            <w:pPr>
              <w:pStyle w:val="TableContents"/>
              <w:bidi w:val="0"/>
              <w:spacing w:before="0" w:after="283"/>
              <w:jc w:val="left"/>
              <w:rPr/>
            </w:pPr>
            <w:r>
              <w:rPr/>
              <w:t>)</w:t>
            </w:r>
            <w:bookmarkStart w:id="35" w:name="xdx_418_20230101__20231231_zPJTOvjlFMwd"/>
            <w:bookmarkEnd w:id="35"/>
          </w:p>
        </w:tc>
      </w:tr>
      <w:tr>
        <w:trPr/>
        <w:tc>
          <w:tcPr>
            <w:tcW w:w="545"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w:t>
            </w:r>
          </w:p>
        </w:tc>
        <w:tc>
          <w:tcPr>
            <w:tcW w:w="1502" w:type="dxa"/>
            <w:tcBorders/>
            <w:shd w:fill="CCEEFF" w:val="clear"/>
            <w:tcMar>
              <w:bottom w:w="0" w:type="dxa"/>
            </w:tcMar>
            <w:vAlign w:val="center"/>
          </w:tcPr>
          <w:p>
            <w:pPr>
              <w:pStyle w:val="TableContents"/>
              <w:bidi w:val="0"/>
              <w:spacing w:before="0" w:after="283"/>
              <w:jc w:val="right"/>
              <w:rPr/>
            </w:pPr>
            <w:r>
              <w:rPr/>
              <w:t>62,195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w:t>
            </w:r>
          </w:p>
        </w:tc>
        <w:tc>
          <w:tcPr>
            <w:tcW w:w="1182" w:type="dxa"/>
            <w:tcBorders/>
            <w:shd w:fill="CCEEFF" w:val="clear"/>
            <w:tcMar>
              <w:bottom w:w="0" w:type="dxa"/>
            </w:tcMar>
            <w:vAlign w:val="center"/>
          </w:tcPr>
          <w:p>
            <w:pPr>
              <w:pStyle w:val="TableContents"/>
              <w:bidi w:val="0"/>
              <w:spacing w:before="0" w:after="283"/>
              <w:jc w:val="right"/>
              <w:rPr/>
            </w:pPr>
            <w:r>
              <w:rPr/>
              <w:t>(4,286,114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w:t>
            </w:r>
          </w:p>
        </w:tc>
        <w:tc>
          <w:tcPr>
            <w:tcW w:w="1627" w:type="dxa"/>
            <w:tcBorders/>
            <w:shd w:fill="CCEEFF" w:val="clear"/>
            <w:tcMar>
              <w:bottom w:w="0" w:type="dxa"/>
            </w:tcMar>
            <w:vAlign w:val="center"/>
          </w:tcPr>
          <w:p>
            <w:pPr>
              <w:pStyle w:val="TableContents"/>
              <w:bidi w:val="0"/>
              <w:spacing w:before="0" w:after="283"/>
              <w:jc w:val="right"/>
              <w:rPr/>
            </w:pPr>
            <w:r>
              <w:rPr/>
              <w:t>323,798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1213" w:type="dxa"/>
            <w:tcBorders/>
            <w:shd w:fill="CCEEFF" w:val="clear"/>
            <w:tcMar>
              <w:bottom w:w="0" w:type="dxa"/>
            </w:tcMar>
            <w:vAlign w:val="center"/>
          </w:tcPr>
          <w:p>
            <w:pPr>
              <w:pStyle w:val="TableContents"/>
              <w:bidi w:val="0"/>
              <w:spacing w:before="0" w:after="283"/>
              <w:jc w:val="right"/>
              <w:rPr/>
            </w:pPr>
            <w:r>
              <w:rPr/>
              <w:t>270,703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jc w:val="left"/>
              <w:rPr/>
            </w:pPr>
            <w:r>
              <w:rPr/>
              <w:t>$</w:t>
            </w:r>
          </w:p>
        </w:tc>
        <w:tc>
          <w:tcPr>
            <w:tcW w:w="1147" w:type="dxa"/>
            <w:tcBorders/>
            <w:shd w:fill="CCEEFF" w:val="clear"/>
            <w:tcMar>
              <w:bottom w:w="0" w:type="dxa"/>
            </w:tcMar>
            <w:vAlign w:val="center"/>
          </w:tcPr>
          <w:p>
            <w:pPr>
              <w:pStyle w:val="TableContents"/>
              <w:bidi w:val="0"/>
              <w:spacing w:before="0" w:after="283"/>
              <w:jc w:val="right"/>
              <w:rPr/>
            </w:pPr>
            <w:r>
              <w:rPr/>
              <w:t>84.54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842" w:type="dxa"/>
            <w:tcBorders/>
            <w:shd w:fill="CCEEFF" w:val="clear"/>
            <w:tcMar>
              <w:bottom w:w="0" w:type="dxa"/>
            </w:tcMar>
            <w:vAlign w:val="center"/>
          </w:tcPr>
          <w:p>
            <w:pPr>
              <w:pStyle w:val="TableContents"/>
              <w:bidi w:val="0"/>
              <w:spacing w:before="0" w:after="283"/>
              <w:jc w:val="right"/>
              <w:rPr/>
            </w:pPr>
            <w:r>
              <w:rPr/>
              <w:t>(20.71</w:t>
            </w:r>
          </w:p>
        </w:tc>
        <w:tc>
          <w:tcPr>
            <w:tcW w:w="11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6" w:name="xdx_F01_z7NAAf6vC1Ye"/>
            <w:bookmarkEnd w:id="36"/>
            <w:r>
              <w:rPr>
                <w:rFonts w:ascii="Times New Roman;Times;Serif" w:hAnsi="Times New Roman;Times;Serif"/>
                <w:b w:val="false"/>
                <w:i w:val="false"/>
                <w:caps w:val="false"/>
                <w:smallCaps w:val="false"/>
                <w:sz w:val="20"/>
              </w:rPr>
              <w:t>(1)</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7" w:name="xdx_F10_z5Jb1pbEnpAk"/>
            <w:bookmarkEnd w:id="37"/>
            <w:r>
              <w:rPr>
                <w:rFonts w:ascii="Times New Roman;Times;Serif" w:hAnsi="Times New Roman;Times;Serif"/>
                <w:b w:val="false"/>
                <w:i w:val="false"/>
                <w:caps w:val="false"/>
                <w:smallCaps w:val="false"/>
                <w:sz w:val="20"/>
              </w:rPr>
              <w:t xml:space="preserve">Amounts represent compensation actually paid to our CEO, Mr. </w:t>
            </w:r>
            <w:bookmarkStart w:id="38" w:name="xdx_905_eecd--PeoName_c20230101__2023123"/>
            <w:bookmarkStart w:id="39" w:name="xdx_90C_eecd--PeoName_c20240101__2024123"/>
            <w:bookmarkStart w:id="40" w:name="xdx_90C_eecd--PeoName_c20250101__2025123"/>
            <w:bookmarkEnd w:id="38"/>
            <w:bookmarkEnd w:id="39"/>
            <w:bookmarkEnd w:id="40"/>
            <w:r>
              <w:rPr>
                <w:rFonts w:ascii="Times New Roman;Times;Serif" w:hAnsi="Times New Roman;Times;Serif"/>
                <w:b w:val="false"/>
                <w:i w:val="false"/>
                <w:caps w:val="false"/>
                <w:smallCaps w:val="false"/>
                <w:sz w:val="20"/>
              </w:rPr>
              <w:t>David Fischel, who was our Principal Executive Officer or “PEO” for each of the years shown, and the average compensation actually paid to our CFO, Ms. Peery, as our remaining NEO or “Non-PEO NEO” for the relevant fiscal year. Amounts were computed in accordance with Item 402(v) of Regulation S-K and do not reflect the actual amount of compensation earned by or paid to Mr. Fischel or Ms. Peery during the applicable year.</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1" w:name="xdx_F02_znDeG84CWK5d"/>
            <w:bookmarkEnd w:id="41"/>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2" w:name="xdx_F15_zaQHyaKQIZi4"/>
            <w:bookmarkEnd w:id="42"/>
            <w:r>
              <w:rPr>
                <w:rFonts w:ascii="Times New Roman;Times;Serif" w:hAnsi="Times New Roman;Times;Serif"/>
                <w:b w:val="false"/>
                <w:i w:val="false"/>
                <w:caps w:val="false"/>
                <w:smallCaps w:val="false"/>
                <w:sz w:val="20"/>
              </w:rPr>
              <w:t>Cumulative total shareholder return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 No dividends were paid on stock or option awards in any applicable period.</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3" w:name="xdx_F00_zx5jgtFHHFji"/>
            <w:bookmarkEnd w:id="43"/>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4" w:name="xdx_F1A_z3HLabLxQFwa"/>
            <w:bookmarkEnd w:id="44"/>
            <w:r>
              <w:rPr>
                <w:rFonts w:ascii="Times New Roman;Times;Serif" w:hAnsi="Times New Roman;Times;Serif"/>
                <w:b w:val="false"/>
                <w:i w:val="false"/>
                <w:caps w:val="false"/>
                <w:smallCaps w:val="false"/>
                <w:sz w:val="20"/>
              </w:rPr>
              <w:t>The dollar amounts reported represent the amount of net income (loss) reflected in our consolidated audited financial statements for the applicable year.</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9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 w:name="xdx_89D_eecd--EquityValuationAssumptionD"/>
      <w:bookmarkEnd w:id="45"/>
      <w:r>
        <w:rPr>
          <w:rFonts w:ascii="Times New Roman;Times;Serif" w:hAnsi="Times New Roman;Times;Serif"/>
          <w:b w:val="false"/>
          <w:i w:val="false"/>
          <w:caps w:val="false"/>
          <w:smallCaps w:val="false"/>
          <w:sz w:val="20"/>
        </w:rPr>
        <w:t>Amounts represent the Summary Compensation Table Total Compensation for the applicable fiscal year adjusted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22"/>
        <w:gridCol w:w="60"/>
        <w:gridCol w:w="140"/>
        <w:gridCol w:w="1055"/>
        <w:gridCol w:w="95"/>
        <w:gridCol w:w="60"/>
        <w:gridCol w:w="164"/>
        <w:gridCol w:w="889"/>
        <w:gridCol w:w="95"/>
        <w:gridCol w:w="60"/>
        <w:gridCol w:w="140"/>
        <w:gridCol w:w="980"/>
        <w:gridCol w:w="60"/>
        <w:gridCol w:w="60"/>
        <w:gridCol w:w="164"/>
        <w:gridCol w:w="889"/>
        <w:gridCol w:w="95"/>
        <w:gridCol w:w="60"/>
        <w:gridCol w:w="140"/>
        <w:gridCol w:w="1055"/>
        <w:gridCol w:w="95"/>
        <w:gridCol w:w="60"/>
        <w:gridCol w:w="164"/>
        <w:gridCol w:w="889"/>
        <w:gridCol w:w="114"/>
      </w:tblGrid>
      <w:tr>
        <w:trPr/>
        <w:tc>
          <w:tcPr>
            <w:tcW w:w="26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6" w:name="xdx_49C_20230101__20231231__ecd--Executi"/>
            <w:bookmarkEnd w:id="46"/>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 w:name="xdx_49D_20230101__20231231__ecd--Executi"/>
            <w:bookmarkEnd w:id="47"/>
          </w:p>
        </w:tc>
        <w:tc>
          <w:tcPr>
            <w:tcW w:w="10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 non- PEO NEOs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 w:name="xdx_49B_20240101__20241231__ecd--Executi"/>
            <w:bookmarkEnd w:id="48"/>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 w:name="xdx_499_20240101__20241231__ecd--Executi"/>
            <w:bookmarkEnd w:id="49"/>
          </w:p>
        </w:tc>
        <w:tc>
          <w:tcPr>
            <w:tcW w:w="10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 non- PEO NEOs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 w:name="xdx_493_20250101__20251231__ecd--Executi"/>
            <w:bookmarkEnd w:id="50"/>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 w:name="xdx_498_20250101__20251231__ecd--Executi"/>
            <w:bookmarkEnd w:id="51"/>
          </w:p>
        </w:tc>
        <w:tc>
          <w:tcPr>
            <w:tcW w:w="10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 non- PEO NEOs</w:t>
            </w:r>
          </w:p>
        </w:tc>
        <w:tc>
          <w:tcPr>
            <w:tcW w:w="114" w:type="dxa"/>
            <w:tcBorders/>
            <w:vAlign w:val="center"/>
          </w:tcPr>
          <w:p>
            <w:pPr>
              <w:pStyle w:val="TableContents"/>
              <w:bidi w:val="0"/>
              <w:spacing w:before="0" w:after="283"/>
              <w:jc w:val="left"/>
              <w:rPr/>
            </w:pPr>
            <w:r>
              <w:rPr/>
              <w:t> </w:t>
            </w:r>
          </w:p>
        </w:tc>
      </w:tr>
      <w:tr>
        <w:trPr/>
        <w:tc>
          <w:tcPr>
            <w:tcW w:w="26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26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 non- PEO NEOs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 non- PEO NEOs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 non- PEO NEOs</w:t>
            </w:r>
          </w:p>
        </w:tc>
        <w:tc>
          <w:tcPr>
            <w:tcW w:w="114" w:type="dxa"/>
            <w:tcBorders/>
            <w:vAlign w:val="center"/>
          </w:tcPr>
          <w:p>
            <w:pPr>
              <w:pStyle w:val="TableContents"/>
              <w:bidi w:val="0"/>
              <w:spacing w:before="0" w:after="283"/>
              <w:jc w:val="left"/>
              <w:rPr/>
            </w:pPr>
            <w:r>
              <w:rPr/>
              <w:t> </w:t>
            </w:r>
            <w:bookmarkStart w:id="52" w:name="xdx_405_eecd--AdjToCompAmt_hecd--AdjToCo"/>
            <w:bookmarkEnd w:id="52"/>
          </w:p>
        </w:tc>
      </w:tr>
      <w:tr>
        <w:trPr/>
        <w:tc>
          <w:tcPr>
            <w:tcW w:w="2622" w:type="dxa"/>
            <w:tcBorders/>
            <w:shd w:fill="CCEEFF" w:val="clear"/>
            <w:vAlign w:val="center"/>
          </w:tcPr>
          <w:p>
            <w:pPr>
              <w:pStyle w:val="TableContents"/>
              <w:bidi w:val="0"/>
              <w:spacing w:before="0" w:after="283"/>
              <w:jc w:val="left"/>
              <w:rPr/>
            </w:pPr>
            <w:r>
              <w:rPr/>
              <w:t>Deduction for ASC 718 Fair Value as of Grant Date Reported under the Stock Awards and Option Awards Columns in the Summary Compensation Table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(72,040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(84,520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(55,400</w:t>
            </w:r>
          </w:p>
        </w:tc>
        <w:tc>
          <w:tcPr>
            <w:tcW w:w="114" w:type="dxa"/>
            <w:tcBorders/>
            <w:shd w:fill="CCEEFF" w:val="clear"/>
            <w:vAlign w:val="center"/>
          </w:tcPr>
          <w:p>
            <w:pPr>
              <w:pStyle w:val="TableContents"/>
              <w:bidi w:val="0"/>
              <w:spacing w:before="0" w:after="283"/>
              <w:jc w:val="left"/>
              <w:rPr/>
            </w:pPr>
            <w:r>
              <w:rPr/>
              <w:t>)</w:t>
            </w:r>
          </w:p>
        </w:tc>
      </w:tr>
      <w:tr>
        <w:trPr/>
        <w:tc>
          <w:tcPr>
            <w:tcW w:w="2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53" w:name="xdx_403_eecd--AdjToCompAmt_hecd--AdjToCo"/>
            <w:bookmarkEnd w:id="53"/>
          </w:p>
        </w:tc>
      </w:tr>
      <w:tr>
        <w:trPr/>
        <w:tc>
          <w:tcPr>
            <w:tcW w:w="2622" w:type="dxa"/>
            <w:tcBorders/>
            <w:shd w:fill="CCEEFF" w:val="clear"/>
            <w:vAlign w:val="center"/>
          </w:tcPr>
          <w:p>
            <w:pPr>
              <w:pStyle w:val="TableContents"/>
              <w:bidi w:val="0"/>
              <w:spacing w:before="0" w:after="283"/>
              <w:jc w:val="left"/>
              <w:rPr/>
            </w:pPr>
            <w:r>
              <w:rPr/>
              <w:t>Year End Fair Value of Outstanding and Unvested Equity Awards Granted in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42,880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59,000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84,500</w:t>
            </w:r>
          </w:p>
        </w:tc>
        <w:tc>
          <w:tcPr>
            <w:tcW w:w="114" w:type="dxa"/>
            <w:tcBorders/>
            <w:shd w:fill="CCEEFF" w:val="clear"/>
            <w:vAlign w:val="center"/>
          </w:tcPr>
          <w:p>
            <w:pPr>
              <w:pStyle w:val="TableContents"/>
              <w:bidi w:val="0"/>
              <w:spacing w:before="0" w:after="283"/>
              <w:jc w:val="left"/>
              <w:rPr/>
            </w:pPr>
            <w:r>
              <w:rPr/>
              <w:t> </w:t>
            </w:r>
          </w:p>
        </w:tc>
      </w:tr>
      <w:tr>
        <w:trPr/>
        <w:tc>
          <w:tcPr>
            <w:tcW w:w="2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54" w:name="xdx_40A_eecd--AdjToCompAmt_hecd--AdjToCo"/>
            <w:bookmarkEnd w:id="54"/>
          </w:p>
        </w:tc>
      </w:tr>
      <w:tr>
        <w:trPr/>
        <w:tc>
          <w:tcPr>
            <w:tcW w:w="2622" w:type="dxa"/>
            <w:tcBorders/>
            <w:shd w:fill="CCEEFF" w:val="clear"/>
            <w:vAlign w:val="center"/>
          </w:tcPr>
          <w:p>
            <w:pPr>
              <w:pStyle w:val="TableContents"/>
              <w:bidi w:val="0"/>
              <w:spacing w:before="0" w:after="283"/>
              <w:jc w:val="left"/>
              <w:rPr/>
            </w:pPr>
            <w:r>
              <w:rPr/>
              <w:t>Fair Value as of Vesting Date of Equity Awards Granted and Vested in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55" w:name="xdx_403_eecd--AdjToCompAmt_hecd--AdjToCo"/>
            <w:bookmarkEnd w:id="55"/>
          </w:p>
        </w:tc>
      </w:tr>
      <w:tr>
        <w:trPr/>
        <w:tc>
          <w:tcPr>
            <w:tcW w:w="2622" w:type="dxa"/>
            <w:tcBorders/>
            <w:shd w:fill="CCEEFF" w:val="clear"/>
            <w:vAlign w:val="center"/>
          </w:tcPr>
          <w:p>
            <w:pPr>
              <w:pStyle w:val="TableContents"/>
              <w:bidi w:val="0"/>
              <w:spacing w:before="0" w:after="283"/>
              <w:jc w:val="left"/>
              <w:rPr/>
            </w:pPr>
            <w:r>
              <w:rPr/>
              <w:t>Year over Year Change in Fair Value of Outstanding and Unvested Equity Awards Granted in Prior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(4,348,309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(12,967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3,660,995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13,483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(2,104,020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(3,359</w:t>
            </w:r>
          </w:p>
        </w:tc>
        <w:tc>
          <w:tcPr>
            <w:tcW w:w="114" w:type="dxa"/>
            <w:tcBorders/>
            <w:shd w:fill="CCEEFF" w:val="clear"/>
            <w:vAlign w:val="center"/>
          </w:tcPr>
          <w:p>
            <w:pPr>
              <w:pStyle w:val="TableContents"/>
              <w:bidi w:val="0"/>
              <w:spacing w:before="0" w:after="283"/>
              <w:jc w:val="left"/>
              <w:rPr/>
            </w:pPr>
            <w:r>
              <w:rPr/>
              <w:t>)</w:t>
            </w:r>
          </w:p>
        </w:tc>
      </w:tr>
      <w:tr>
        <w:trPr/>
        <w:tc>
          <w:tcPr>
            <w:tcW w:w="2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56" w:name="xdx_407_eecd--AdjToCompAmt_hecd--AdjToCo"/>
            <w:bookmarkEnd w:id="56"/>
          </w:p>
        </w:tc>
      </w:tr>
      <w:tr>
        <w:trPr/>
        <w:tc>
          <w:tcPr>
            <w:tcW w:w="2622" w:type="dxa"/>
            <w:tcBorders/>
            <w:shd w:fill="CCEEFF" w:val="clear"/>
            <w:vAlign w:val="center"/>
          </w:tcPr>
          <w:p>
            <w:pPr>
              <w:pStyle w:val="TableContents"/>
              <w:bidi w:val="0"/>
              <w:spacing w:before="0" w:after="283"/>
              <w:jc w:val="left"/>
              <w:rPr/>
            </w:pPr>
            <w:r>
              <w:rPr/>
              <w:t>Year over Year Change in Fair Value of Equity Awards Granted in Prior Years that Vested in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(10,968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9,627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35,217</w:t>
            </w:r>
          </w:p>
        </w:tc>
        <w:tc>
          <w:tcPr>
            <w:tcW w:w="114" w:type="dxa"/>
            <w:tcBorders/>
            <w:shd w:fill="CCEEFF" w:val="clear"/>
            <w:vAlign w:val="center"/>
          </w:tcPr>
          <w:p>
            <w:pPr>
              <w:pStyle w:val="TableContents"/>
              <w:bidi w:val="0"/>
              <w:spacing w:before="0" w:after="283"/>
              <w:jc w:val="left"/>
              <w:rPr/>
            </w:pPr>
            <w:r>
              <w:rPr/>
              <w:t> </w:t>
            </w:r>
          </w:p>
        </w:tc>
      </w:tr>
      <w:tr>
        <w:trPr/>
        <w:tc>
          <w:tcPr>
            <w:tcW w:w="2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57" w:name="xdx_40F_eecd--AdjToCompAmt_hecd--AdjToCo"/>
            <w:bookmarkEnd w:id="57"/>
          </w:p>
        </w:tc>
      </w:tr>
      <w:tr>
        <w:trPr/>
        <w:tc>
          <w:tcPr>
            <w:tcW w:w="2622" w:type="dxa"/>
            <w:tcBorders/>
            <w:shd w:fill="CCEEFF" w:val="clear"/>
            <w:vAlign w:val="center"/>
          </w:tcPr>
          <w:p>
            <w:pPr>
              <w:pStyle w:val="TableContents"/>
              <w:bidi w:val="0"/>
              <w:spacing w:before="0" w:after="283"/>
              <w:jc w:val="left"/>
              <w:rPr/>
            </w:pPr>
            <w:r>
              <w:rPr/>
              <w:t>Fair Value at the End of the Prior Year of Equity Awards that Failed to Meet Vesting Conditions in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58" w:name="xdx_403_eecd--AdjToCompAmt_hecd--AdjToCo"/>
            <w:bookmarkEnd w:id="58"/>
          </w:p>
        </w:tc>
      </w:tr>
      <w:tr>
        <w:trPr/>
        <w:tc>
          <w:tcPr>
            <w:tcW w:w="2622" w:type="dxa"/>
            <w:tcBorders/>
            <w:shd w:fill="CCEEFF" w:val="clear"/>
            <w:vAlign w:val="center"/>
          </w:tcPr>
          <w:p>
            <w:pPr>
              <w:pStyle w:val="TableContents"/>
              <w:bidi w:val="0"/>
              <w:spacing w:before="0" w:after="283"/>
              <w:jc w:val="left"/>
              <w:rPr/>
            </w:pPr>
            <w:r>
              <w:rPr/>
              <w:t>Value of Dividends or other Earnings Paid on Stock or Option Awards not Otherwise Reflected in Fair Value or Total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59" w:name="xdx_40B_eecd--AdjToCompAmt_zkikCfmktBth"/>
            <w:bookmarkEnd w:id="59"/>
          </w:p>
        </w:tc>
      </w:tr>
      <w:tr>
        <w:trPr/>
        <w:tc>
          <w:tcPr>
            <w:tcW w:w="2622" w:type="dxa"/>
            <w:tcBorders/>
            <w:shd w:fill="CCEEFF" w:val="clear"/>
            <w:vAlign w:val="center"/>
          </w:tcPr>
          <w:p>
            <w:pPr>
              <w:pStyle w:val="TableContents"/>
              <w:bidi w:val="0"/>
              <w:spacing w:before="0" w:after="283"/>
              <w:jc w:val="left"/>
              <w:rPr/>
            </w:pPr>
            <w:r>
              <w:rPr/>
              <w:t>Total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(4,348,309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(53,095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3,660,995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(2,410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(2,104,020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60,958</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60" w:name="xdx_8AD_zKlOEBABjLxg"/>
      <w:bookmarkEnd w:id="6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awards granted to our PEO include performance-based stock units (PSU). The change in fair values of those PSUs included in the compensation actually paid to our PEO are calculated at the required measurement dates using a Black-Scholes model to approximate the change in fair value. Changes to the PSU fair value from the grant date are based on our updated stock price at the respective measurement dates, in addition to the remaining life of the grant, implied volatility of our stock over the remaining grant life, and risk-free rate assumptions. For all years presented, the meaningful increases or decreases in the year-end stock option fair value from the fair value on the grant date were primarily driven by changes in the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awards to our Non-PEO NEOs include incentive stock options. The change in fair values of those options include in the compensation actually paid to our Non-PEO NEOs are calculated at the required measurement dates, consistent with the approach used to value the awards at the grant date as described in our Annual Report on Form 10-K for the year ended December 31, 2025. Changes to the stock option fair values are based on the updated stock price at the respective measurement dates, in addition to updated expected option term, implied volatility of our stock over the updated expected option term, and risk-free rate assumptions. For all years presented, the meaningful increases or decreases in the year-end stock option fair value from the fair value on the grant date were primarily driven by changes in the stock price.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total shareholder return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 No dividends were paid on stock or option awards in any applicable period.</w:t>
            </w:r>
          </w:p>
        </w:tc>
      </w:tr>
      <w:tr>
        <w:trPr/>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represent the amount of net income (loss) reflected in our consolidated audited financial statements for the applicable year.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Analysis of the Information Presented in the Pay Versus Performance Table</w:t>
      </w:r>
    </w:p>
    <w:p>
      <w:pPr>
        <w:pStyle w:val="TextBody"/>
        <w:bidi w:val="0"/>
        <w:spacing w:before="0" w:after="0"/>
        <w:ind w:left="0" w:right="0" w:hanging="0"/>
        <w:jc w:val="center"/>
        <w:rPr>
          <w:caps w:val="false"/>
          <w:smallCaps w:val="false"/>
        </w:rPr>
      </w:pPr>
      <w:bookmarkStart w:id="61" w:name="xdx_898_eecd--Additional402vDisclosureTe"/>
      <w:bookmarkEnd w:id="61"/>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pStyle w:val="TextBody"/>
        <w:bidi w:val="0"/>
        <w:spacing w:before="0" w:after="0"/>
        <w:ind w:left="0" w:right="0" w:hanging="0"/>
        <w:jc w:val="both"/>
        <w:rPr>
          <w:caps w:val="false"/>
          <w:smallCaps w:val="false"/>
        </w:rPr>
      </w:pPr>
      <w:bookmarkStart w:id="62" w:name="xdx_8A7_z3dWpNsLLprb"/>
      <w:bookmarkEnd w:id="62"/>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63" w:name="xdx_890_eecd--CompActuallyPaidVsNetIncom"/>
      <w:bookmarkEnd w:id="63"/>
      <w:r>
        <w:rPr>
          <w:rFonts w:ascii="Times New Roman;Times;Serif" w:hAnsi="Times New Roman;Times;Serif"/>
          <w:b w:val="false"/>
          <w:i/>
          <w:caps w:val="false"/>
          <w:smallCaps w:val="false"/>
          <w:sz w:val="20"/>
        </w:rPr>
        <w:t>Compensation Actually Paid and Net Income (Loss)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2023 and 2025, our net loss increased; although the compensation paid for both our PEO and non-PEO NEOs increased to reflect contributions to, and performance on, Company initiatives.</w:t>
      </w:r>
    </w:p>
    <w:p>
      <w:pPr>
        <w:pStyle w:val="TextBody"/>
        <w:bidi w:val="0"/>
        <w:spacing w:before="0" w:after="0"/>
        <w:ind w:left="0" w:right="0" w:hanging="0"/>
        <w:jc w:val="center"/>
        <w:rPr>
          <w:caps w:val="false"/>
          <w:smallCaps w:val="false"/>
        </w:rPr>
      </w:pPr>
      <w:bookmarkStart w:id="64" w:name="xdx_8AC_zBdEUMoAqIE6"/>
      <w:bookmarkEnd w:id="64"/>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65" w:name="xdx_897_eecd--CompActuallyPaidVsTotalSha"/>
      <w:bookmarkEnd w:id="65"/>
      <w:r>
        <w:rPr>
          <w:rFonts w:ascii="Times New Roman;Times;Serif" w:hAnsi="Times New Roman;Times;Serif"/>
          <w:b w:val="false"/>
          <w:i/>
          <w:caps w:val="false"/>
          <w:smallCaps w:val="false"/>
          <w:sz w:val="20"/>
        </w:rPr>
        <w:t>Compensation Actually Paid and Cumulative TSR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shown in the following graph, the compensation actually paid to Mr. Fischel and the average amount of compensation actually paid to our named executive officers as a group (excluding Mr. Fischel) during the periods presented are positively correlated to total shareholder return (TSR). We have not historically aligned executive compensation with TSR. Our stock incentive programs, which are an integral part of our executive compensation program, are tied to Company performance because they provide value only if the market price of our common stock increases and if the executive officer continues in our employment over the vesting period. These stock awards strongly align our executive officers’ interests with those of our stockholders by providing a continuing financial incentive to maximize long-term value for our stockholders and by encouraging our executive officers to continue in our employment for the long-term. Additionally, part of the compensation of our named executive officers other than our PEO consists of annual performance-based cash bonuses which are designed to provide appropriate incentives for our executives to achieve defined annual corporate goals and to reward our executives for individual achievement towards these goals. See the Executive Compensation section for a discussion of our compensation programs.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5715000" cy="421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4210050"/>
                    </a:xfrm>
                    <a:prstGeom prst="rect">
                      <a:avLst/>
                    </a:prstGeom>
                  </pic:spPr>
                </pic:pic>
              </a:graphicData>
            </a:graphic>
          </wp:inline>
        </w:drawing>
      </w:r>
    </w:p>
    <w:p>
      <w:pPr>
        <w:pStyle w:val="TextBody"/>
        <w:bidi w:val="0"/>
        <w:spacing w:before="0" w:after="0"/>
        <w:ind w:left="0" w:right="0" w:hanging="0"/>
        <w:jc w:val="center"/>
        <w:rPr>
          <w:caps w:val="false"/>
          <w:smallCaps w:val="false"/>
        </w:rPr>
      </w:pPr>
      <w:bookmarkStart w:id="66" w:name="xdx_8AA_zDZgDIi33ZO9"/>
      <w:bookmarkEnd w:id="6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67" w:name="a_012"/>
      <w:bookmarkEnd w:id="67"/>
      <w:r>
        <w:rPr>
          <w:rFonts w:ascii="Times New Roman;Times;Serif" w:hAnsi="Times New Roman;Times;Serif"/>
          <w:b/>
          <w:i/>
          <w:caps w:val="false"/>
          <w:smallCaps w:val="false"/>
          <w:sz w:val="20"/>
        </w:rPr>
        <w:t>Securities Authorized for Issuance under 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discloses information as of December 31, 2025, regarding securities to be issued upon the exercise of outstanding options, warrants, and rights under equity compensation plans.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16"/>
        <w:gridCol w:w="60"/>
        <w:gridCol w:w="127"/>
        <w:gridCol w:w="2106"/>
        <w:gridCol w:w="60"/>
        <w:gridCol w:w="60"/>
        <w:gridCol w:w="600"/>
        <w:gridCol w:w="1891"/>
        <w:gridCol w:w="60"/>
        <w:gridCol w:w="60"/>
        <w:gridCol w:w="157"/>
        <w:gridCol w:w="2930"/>
        <w:gridCol w:w="78"/>
      </w:tblGrid>
      <w:tr>
        <w:trPr/>
        <w:tc>
          <w:tcPr>
            <w:tcW w:w="2016" w:type="dxa"/>
            <w:tcBorders>
              <w:bottom w:val="single" w:sz="8" w:space="0" w:color="000000"/>
            </w:tcBorders>
            <w:vAlign w:val="center"/>
          </w:tcPr>
          <w:p>
            <w:pPr>
              <w:pStyle w:val="TableContents"/>
              <w:bidi w:val="0"/>
              <w:spacing w:before="0" w:after="283"/>
              <w:jc w:val="center"/>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23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Securities to be Issued Upon Exercise of Outstanding Options, Warrants and Rights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9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Weighted-Average Exercise Price of Outstanding Options, Warrants and Rights</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8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Securities Remaining Available for Future Issuance Under Equity Compensation Plans (Excluding Securities Reflected in Column (a)) </w:t>
            </w:r>
            <w:r>
              <w:rPr>
                <w:rFonts w:ascii="Times New Roman;Times;Serif" w:hAnsi="Times New Roman;Times;Serif"/>
                <w:b/>
                <w:position w:val="7"/>
                <w:sz w:val="16"/>
                <w:sz w:val="20"/>
              </w:rPr>
              <w:t>(3)</w:t>
            </w:r>
          </w:p>
        </w:tc>
        <w:tc>
          <w:tcPr>
            <w:tcW w:w="78" w:type="dxa"/>
            <w:tcBorders/>
            <w:tcMar>
              <w:bottom w:w="0" w:type="dxa"/>
            </w:tcMar>
            <w:vAlign w:val="center"/>
          </w:tcPr>
          <w:p>
            <w:pPr>
              <w:pStyle w:val="TableContents"/>
              <w:bidi w:val="0"/>
              <w:spacing w:before="0" w:after="283"/>
              <w:jc w:val="left"/>
              <w:rPr/>
            </w:pPr>
            <w:r>
              <w:rPr/>
              <w:t> </w:t>
            </w:r>
          </w:p>
        </w:tc>
      </w:tr>
      <w:tr>
        <w:trPr/>
        <w:tc>
          <w:tcPr>
            <w:tcW w:w="201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33" w:type="dxa"/>
            <w:gridSpan w:val="2"/>
            <w:tcBorders/>
            <w:tcMar>
              <w:bottom w:w="0" w:type="dxa"/>
            </w:tcMar>
            <w:vAlign w:val="center"/>
          </w:tcPr>
          <w:p>
            <w:pPr>
              <w:pStyle w:val="TableContents"/>
              <w:bidi w:val="0"/>
              <w:spacing w:before="0" w:after="283"/>
              <w:jc w:val="center"/>
              <w:rPr>
                <w:b/>
              </w:rPr>
            </w:pPr>
            <w:r>
              <w:rPr>
                <w:b/>
              </w:rP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91" w:type="dxa"/>
            <w:gridSpan w:val="2"/>
            <w:tcBorders/>
            <w:tcMar>
              <w:bottom w:w="0" w:type="dxa"/>
            </w:tcMar>
            <w:vAlign w:val="center"/>
          </w:tcPr>
          <w:p>
            <w:pPr>
              <w:pStyle w:val="TableContents"/>
              <w:bidi w:val="0"/>
              <w:spacing w:before="0" w:after="283"/>
              <w:jc w:val="center"/>
              <w:rPr>
                <w:b/>
              </w:rPr>
            </w:pPr>
            <w:r>
              <w:rPr>
                <w:b/>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87" w:type="dxa"/>
            <w:gridSpan w:val="2"/>
            <w:tcBorders/>
            <w:tcMar>
              <w:bottom w:w="0" w:type="dxa"/>
            </w:tcMar>
            <w:vAlign w:val="center"/>
          </w:tcPr>
          <w:p>
            <w:pPr>
              <w:pStyle w:val="TableContents"/>
              <w:bidi w:val="0"/>
              <w:spacing w:before="0" w:after="283"/>
              <w:jc w:val="center"/>
              <w:rPr>
                <w:b/>
              </w:rPr>
            </w:pPr>
            <w:r>
              <w:rPr>
                <w:b/>
              </w:rPr>
              <w:t>(c)</w:t>
            </w:r>
          </w:p>
        </w:tc>
        <w:tc>
          <w:tcPr>
            <w:tcW w:w="78" w:type="dxa"/>
            <w:tcBorders/>
            <w:tcMar>
              <w:bottom w:w="0" w:type="dxa"/>
            </w:tcMar>
            <w:vAlign w:val="center"/>
          </w:tcPr>
          <w:p>
            <w:pPr>
              <w:pStyle w:val="TableContents"/>
              <w:bidi w:val="0"/>
              <w:spacing w:before="0" w:after="283"/>
              <w:jc w:val="left"/>
              <w:rPr/>
            </w:pPr>
            <w:r>
              <w:rPr/>
              <w:t> </w:t>
            </w:r>
          </w:p>
        </w:tc>
      </w:tr>
      <w:tr>
        <w:trPr/>
        <w:tc>
          <w:tcPr>
            <w:tcW w:w="201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33"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91"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87" w:type="dxa"/>
            <w:gridSpan w:val="2"/>
            <w:tcBorders/>
            <w:tcMar>
              <w:bottom w:w="0" w:type="dxa"/>
            </w:tcMar>
            <w:vAlign w:val="center"/>
          </w:tcPr>
          <w:p>
            <w:pPr>
              <w:pStyle w:val="TableContents"/>
              <w:bidi w:val="0"/>
              <w:spacing w:before="0" w:after="283"/>
              <w:jc w:val="right"/>
              <w:rPr/>
            </w:pPr>
            <w:r>
              <w:rPr/>
              <w:t> </w:t>
            </w:r>
          </w:p>
        </w:tc>
        <w:tc>
          <w:tcPr>
            <w:tcW w:w="78" w:type="dxa"/>
            <w:tcBorders/>
            <w:tcMar>
              <w:bottom w:w="0" w:type="dxa"/>
            </w:tcMar>
            <w:vAlign w:val="center"/>
          </w:tcPr>
          <w:p>
            <w:pPr>
              <w:pStyle w:val="TableContents"/>
              <w:bidi w:val="0"/>
              <w:spacing w:before="0" w:after="283"/>
              <w:jc w:val="left"/>
              <w:rPr/>
            </w:pPr>
            <w:r>
              <w:rPr/>
              <w:t> </w:t>
            </w:r>
          </w:p>
        </w:tc>
      </w:tr>
      <w:tr>
        <w:trPr/>
        <w:tc>
          <w:tcPr>
            <w:tcW w:w="2016" w:type="dxa"/>
            <w:tcBorders/>
            <w:shd w:fill="CCEEFF" w:val="clear"/>
            <w:tcMar>
              <w:bottom w:w="0" w:type="dxa"/>
            </w:tcMar>
            <w:vAlign w:val="center"/>
          </w:tcPr>
          <w:p>
            <w:pPr>
              <w:pStyle w:val="TableContents"/>
              <w:bidi w:val="0"/>
              <w:spacing w:before="0" w:after="283"/>
              <w:jc w:val="left"/>
              <w:rPr/>
            </w:pPr>
            <w:r>
              <w:rPr/>
              <w:t>Equity compensation plans approved by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2106" w:type="dxa"/>
            <w:tcBorders/>
            <w:shd w:fill="CCEEFF" w:val="clear"/>
            <w:tcMar>
              <w:bottom w:w="0" w:type="dxa"/>
            </w:tcMar>
            <w:vAlign w:val="center"/>
          </w:tcPr>
          <w:p>
            <w:pPr>
              <w:pStyle w:val="TableContents"/>
              <w:bidi w:val="0"/>
              <w:spacing w:before="0" w:after="283"/>
              <w:jc w:val="right"/>
              <w:rPr/>
            </w:pPr>
            <w:r>
              <w:rPr/>
              <w:t>6,751,014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0" w:type="dxa"/>
            <w:tcBorders/>
            <w:shd w:fill="CCEEFF" w:val="clear"/>
            <w:tcMar>
              <w:bottom w:w="0" w:type="dxa"/>
            </w:tcMar>
            <w:vAlign w:val="center"/>
          </w:tcPr>
          <w:p>
            <w:pPr>
              <w:pStyle w:val="TableContents"/>
              <w:bidi w:val="0"/>
              <w:spacing w:before="0" w:after="283"/>
              <w:jc w:val="left"/>
              <w:rPr/>
            </w:pPr>
            <w:r>
              <w:rPr/>
              <w:t>$</w:t>
            </w:r>
          </w:p>
        </w:tc>
        <w:tc>
          <w:tcPr>
            <w:tcW w:w="1891" w:type="dxa"/>
            <w:tcBorders/>
            <w:shd w:fill="CCEEFF" w:val="clear"/>
            <w:tcMar>
              <w:bottom w:w="0" w:type="dxa"/>
            </w:tcMar>
            <w:vAlign w:val="center"/>
          </w:tcPr>
          <w:p>
            <w:pPr>
              <w:pStyle w:val="TableContents"/>
              <w:bidi w:val="0"/>
              <w:spacing w:before="0" w:after="283"/>
              <w:jc w:val="right"/>
              <w:rPr/>
            </w:pPr>
            <w:r>
              <w:rPr/>
              <w:t>3.49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2930" w:type="dxa"/>
            <w:tcBorders/>
            <w:shd w:fill="CCEEFF" w:val="clear"/>
            <w:tcMar>
              <w:bottom w:w="0" w:type="dxa"/>
            </w:tcMar>
            <w:vAlign w:val="center"/>
          </w:tcPr>
          <w:p>
            <w:pPr>
              <w:pStyle w:val="TableContents"/>
              <w:bidi w:val="0"/>
              <w:spacing w:before="0" w:after="283"/>
              <w:jc w:val="right"/>
              <w:rPr/>
            </w:pPr>
            <w:r>
              <w:rPr/>
              <w:t>17,127,899</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016" w:type="dxa"/>
            <w:tcBorders/>
            <w:shd w:fill="FFFFFF" w:val="clear"/>
            <w:tcMar>
              <w:bottom w:w="0" w:type="dxa"/>
            </w:tcMar>
            <w:vAlign w:val="center"/>
          </w:tcPr>
          <w:p>
            <w:pPr>
              <w:pStyle w:val="TableContents"/>
              <w:bidi w:val="0"/>
              <w:spacing w:before="0" w:after="283"/>
              <w:jc w:val="left"/>
              <w:rPr/>
            </w:pPr>
            <w:r>
              <w:rPr/>
              <w:t>Equity compensation plans not approved by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bottom w:val="single" w:sz="8" w:space="0" w:color="000000"/>
            </w:tcBorders>
            <w:shd w:fill="FFFFFF" w:val="clear"/>
            <w:vAlign w:val="center"/>
          </w:tcPr>
          <w:p>
            <w:pPr>
              <w:pStyle w:val="TableContents"/>
              <w:bidi w:val="0"/>
              <w:spacing w:before="0" w:after="283"/>
              <w:jc w:val="left"/>
              <w:rPr/>
            </w:pPr>
            <w:r>
              <w:rPr/>
              <w:t> </w:t>
            </w:r>
          </w:p>
        </w:tc>
        <w:tc>
          <w:tcPr>
            <w:tcW w:w="2106"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0" w:type="dxa"/>
            <w:tcBorders>
              <w:bottom w:val="single" w:sz="8" w:space="0" w:color="000000"/>
            </w:tcBorders>
            <w:shd w:fill="FFFFFF" w:val="clear"/>
            <w:vAlign w:val="center"/>
          </w:tcPr>
          <w:p>
            <w:pPr>
              <w:pStyle w:val="TableContents"/>
              <w:bidi w:val="0"/>
              <w:spacing w:before="0" w:after="283"/>
              <w:jc w:val="left"/>
              <w:rPr/>
            </w:pPr>
            <w:r>
              <w:rPr/>
              <w:t> </w:t>
            </w:r>
          </w:p>
        </w:tc>
        <w:tc>
          <w:tcPr>
            <w:tcW w:w="1891"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single" w:sz="8" w:space="0" w:color="000000"/>
            </w:tcBorders>
            <w:shd w:fill="FFFFFF" w:val="clear"/>
            <w:vAlign w:val="center"/>
          </w:tcPr>
          <w:p>
            <w:pPr>
              <w:pStyle w:val="TableContents"/>
              <w:bidi w:val="0"/>
              <w:spacing w:before="0" w:after="283"/>
              <w:jc w:val="left"/>
              <w:rPr/>
            </w:pPr>
            <w:r>
              <w:rPr/>
              <w:t> </w:t>
            </w:r>
          </w:p>
        </w:tc>
        <w:tc>
          <w:tcPr>
            <w:tcW w:w="2930" w:type="dxa"/>
            <w:tcBorders>
              <w:bottom w:val="single" w:sz="8" w:space="0" w:color="000000"/>
            </w:tcBorders>
            <w:shd w:fill="FFFFFF" w:val="clear"/>
            <w:vAlign w:val="center"/>
          </w:tcPr>
          <w:p>
            <w:pPr>
              <w:pStyle w:val="TableContents"/>
              <w:bidi w:val="0"/>
              <w:spacing w:before="0" w:after="283"/>
              <w:jc w:val="right"/>
              <w:rPr/>
            </w:pPr>
            <w:r>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016"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2106" w:type="dxa"/>
            <w:tcBorders/>
            <w:shd w:fill="CCEEFF" w:val="clear"/>
            <w:tcMar>
              <w:bottom w:w="0" w:type="dxa"/>
            </w:tcMar>
            <w:vAlign w:val="center"/>
          </w:tcPr>
          <w:p>
            <w:pPr>
              <w:pStyle w:val="TableContents"/>
              <w:bidi w:val="0"/>
              <w:spacing w:before="0" w:after="283"/>
              <w:jc w:val="right"/>
              <w:rPr/>
            </w:pPr>
            <w:r>
              <w:rPr/>
              <w:t>6,751,014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0" w:type="dxa"/>
            <w:tcBorders/>
            <w:shd w:fill="CCEEFF" w:val="clear"/>
            <w:tcMar>
              <w:bottom w:w="0" w:type="dxa"/>
            </w:tcMar>
            <w:vAlign w:val="center"/>
          </w:tcPr>
          <w:p>
            <w:pPr>
              <w:pStyle w:val="TableContents"/>
              <w:bidi w:val="0"/>
              <w:spacing w:before="0" w:after="283"/>
              <w:jc w:val="left"/>
              <w:rPr/>
            </w:pPr>
            <w:r>
              <w:rPr/>
              <w:t>$</w:t>
            </w:r>
          </w:p>
        </w:tc>
        <w:tc>
          <w:tcPr>
            <w:tcW w:w="1891" w:type="dxa"/>
            <w:tcBorders/>
            <w:shd w:fill="CCEEFF" w:val="clear"/>
            <w:tcMar>
              <w:bottom w:w="0" w:type="dxa"/>
            </w:tcMar>
            <w:vAlign w:val="center"/>
          </w:tcPr>
          <w:p>
            <w:pPr>
              <w:pStyle w:val="TableContents"/>
              <w:bidi w:val="0"/>
              <w:spacing w:before="0" w:after="283"/>
              <w:jc w:val="right"/>
              <w:rPr/>
            </w:pPr>
            <w:r>
              <w:rPr/>
              <w:t>3.49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2930" w:type="dxa"/>
            <w:tcBorders/>
            <w:shd w:fill="CCEEFF" w:val="clear"/>
            <w:tcMar>
              <w:bottom w:w="0" w:type="dxa"/>
            </w:tcMar>
            <w:vAlign w:val="center"/>
          </w:tcPr>
          <w:p>
            <w:pPr>
              <w:pStyle w:val="TableContents"/>
              <w:bidi w:val="0"/>
              <w:spacing w:before="0" w:after="283"/>
              <w:jc w:val="right"/>
              <w:rPr/>
            </w:pPr>
            <w:r>
              <w:rPr/>
              <w:t>17,127,899</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1,896,633 shares issuable pursuant to RSUs under our compensation program for non-employee directors, for which the service period has been completed but which will vest and become issuable in the future on the earliest to occur of (i) the fifth anniversary of the date of the award, (ii) the date on which the Board service of the director terminates, or (iii) a “change of control” of the Company, as defined in the award agreement. See “Director Compensation—Director Compensation Policy” above.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both"/>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issuable upon vesting of restricted share units are not included in the weighted average computation.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both"/>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13,000,000 shares issuable pursuant to performance based RSUs under the 2021 CEO Performance Share Unit Award Plan which was approved by our shareholders at our May 20, 2021, annual meeting. As of December 31, 2025, no milestones have been achieved under the 2021 CEO Performance Share Unit Award Plan and accordingly no shares have been issued.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Payments Upon Termination or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agreements under our 2012 Stock Incentive Plan, 2022 Stock Incentive Plan, and the 2021 CEO Performance Share Unit Award Plan (collectively, the “Plans”) provide for the acceleration of certain equity awards in the event of termination of the employee’s employment due to a change of control of the Company. The provisions under the award agreements are applicable to awards granted to all participants in the Plan, including the Named Executive Officers. We have described those provisions below. Additionally, under certain stock incentive plans, in the event of a change of control of the Company, the Compensation Committee has the discretion to provide for termination of awards in exchange for cash payments or the issuance of substitute awards. Benefits or payments under other plans and arrangements that are available to the Company’s employees on similar terms are not described.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of awards under the Stock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awards do not typically accelerate in connection with the retirement, resignation, or other termination of employment (i.e., voluntary termination, termination for cause or involuntary termination) of any of the participants. In addition, none of the equity awards under our 2012 Stock Incentive Plan, or 2022 Stock Incentive Plan accelerate in the event of termination by death or disability. SARs and options could be exercised for specified periods following retirement, death, or disability.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 w:name="a_013"/>
      <w:bookmarkEnd w:id="68"/>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known to us with respect to the beneficial ownership of our common stock as of March 16, 2026, by:</w:t>
      </w:r>
    </w:p>
    <w:p>
      <w:pPr>
        <w:pStyle w:val="TextBody"/>
        <w:bidi w:val="0"/>
        <w:spacing w:before="0" w:after="0"/>
        <w:ind w:left="0" w:right="0" w:hanging="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by us to beneficially own more than 5% of our outstanding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our directors and executive officers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97,477,538 shares of common stock and 21,008 shares of Series A Convertible Preferred Stock outstanding as of March 16, 2026. Each share of our Series A Convertible Preferred Stock is convertible into 2,412 shares of our common stock (or an aggregate 23,705,445 shares), subject to specified beneficial ownership limitations. Unless otherwise indicated, the table below includes the number of shares underlying options that are currently exercisable or exercisable within 60 days after March 16, 2026, the number of shares that may be issuable upon vesting of restricted share units within 60 days after March 16, 2026, and the number of shares of common stock into which the shares of Series A Convertible Preferred Stock are convertible within 60 days after March 16, 2026, in each case subject to the beneficial ownership limitations described in the footnotes below. Such shares are considered outstanding and beneficially owned by the person holding the options, restricted share units, or shares of Series A Convertible Preferred Stock for the purposes of computing beneficial ownership of that person but are not treated as outstanding for the purpose of computing the percentage ownership of any other person. To our knowledge, except as set forth in the footnotes to this table and subject to applicable community property laws, where applicable, each person named in the table has sole voting and investment power with respect to the shares set forth opposite such person’s name. Except as otherwise indicated, the address of each of the persons in this table is as follows: c/o Stereotaxis, Inc., 710 North Tucker Boulevard, Suite 110, St. Louis, Missouri 63101.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376"/>
        <w:gridCol w:w="60"/>
        <w:gridCol w:w="162"/>
        <w:gridCol w:w="2986"/>
        <w:gridCol w:w="60"/>
        <w:gridCol w:w="60"/>
        <w:gridCol w:w="315"/>
        <w:gridCol w:w="2953"/>
        <w:gridCol w:w="233"/>
      </w:tblGrid>
      <w:tr>
        <w:trPr/>
        <w:tc>
          <w:tcPr>
            <w:tcW w:w="3376" w:type="dxa"/>
            <w:tcBorders>
              <w:bottom w:val="single" w:sz="8" w:space="0" w:color="000000"/>
            </w:tcBorders>
            <w:vAlign w:val="center"/>
          </w:tcPr>
          <w:p>
            <w:pPr>
              <w:pStyle w:val="TableContents"/>
              <w:bidi w:val="0"/>
              <w:spacing w:before="0" w:after="283"/>
              <w:jc w:val="center"/>
              <w:rPr>
                <w:b/>
              </w:rPr>
            </w:pPr>
            <w:r>
              <w:rPr>
                <w:b/>
              </w:rPr>
              <w:t>Name and Address of Beneficial Owner of Common Stock</w:t>
            </w:r>
          </w:p>
        </w:tc>
        <w:tc>
          <w:tcPr>
            <w:tcW w:w="60" w:type="dxa"/>
            <w:tcBorders/>
            <w:tcMar>
              <w:bottom w:w="0" w:type="dxa"/>
            </w:tcMar>
            <w:vAlign w:val="center"/>
          </w:tcPr>
          <w:p>
            <w:pPr>
              <w:pStyle w:val="TableContents"/>
              <w:bidi w:val="0"/>
              <w:spacing w:before="0" w:after="283"/>
              <w:jc w:val="left"/>
              <w:rPr/>
            </w:pPr>
            <w:r>
              <w:rPr/>
              <w:t> </w:t>
            </w:r>
          </w:p>
        </w:tc>
        <w:tc>
          <w:tcPr>
            <w:tcW w:w="3148" w:type="dxa"/>
            <w:gridSpan w:val="2"/>
            <w:tcBorders>
              <w:bottom w:val="single" w:sz="8" w:space="0" w:color="000000"/>
            </w:tcBorders>
            <w:vAlign w:val="center"/>
          </w:tcPr>
          <w:p>
            <w:pPr>
              <w:pStyle w:val="TableContents"/>
              <w:bidi w:val="0"/>
              <w:spacing w:before="0" w:after="283"/>
              <w:jc w:val="center"/>
              <w:rPr>
                <w:b/>
              </w:rPr>
            </w:pPr>
            <w:r>
              <w:rPr>
                <w:b/>
              </w:rPr>
              <w:t>Number of shares of Common 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68" w:type="dxa"/>
            <w:gridSpan w:val="2"/>
            <w:tcBorders>
              <w:bottom w:val="single" w:sz="8" w:space="0" w:color="000000"/>
            </w:tcBorders>
            <w:vAlign w:val="center"/>
          </w:tcPr>
          <w:p>
            <w:pPr>
              <w:pStyle w:val="TableContents"/>
              <w:bidi w:val="0"/>
              <w:spacing w:before="0" w:after="283"/>
              <w:jc w:val="center"/>
              <w:rPr>
                <w:b/>
              </w:rPr>
            </w:pPr>
            <w:r>
              <w:rPr>
                <w:b/>
              </w:rPr>
              <w:t>Percentage of shares of Common Stock beneficially owned</w:t>
            </w:r>
          </w:p>
        </w:tc>
        <w:tc>
          <w:tcPr>
            <w:tcW w:w="233" w:type="dxa"/>
            <w:tcBorders/>
            <w:tcMar>
              <w:bottom w:w="0" w:type="dxa"/>
            </w:tcMar>
            <w:vAlign w:val="center"/>
          </w:tcPr>
          <w:p>
            <w:pPr>
              <w:pStyle w:val="TableContents"/>
              <w:bidi w:val="0"/>
              <w:spacing w:before="0" w:after="283"/>
              <w:jc w:val="left"/>
              <w:rPr/>
            </w:pPr>
            <w:r>
              <w:rPr/>
              <w:t> </w:t>
            </w:r>
          </w:p>
        </w:tc>
      </w:tr>
      <w:tr>
        <w:trPr/>
        <w:tc>
          <w:tcPr>
            <w:tcW w:w="3376" w:type="dxa"/>
            <w:tcBorders/>
            <w:shd w:fill="CCEEFF" w:val="clear"/>
            <w:tcMar>
              <w:bottom w:w="0" w:type="dxa"/>
            </w:tcMar>
            <w:vAlign w:val="center"/>
          </w:tcPr>
          <w:p>
            <w:pPr>
              <w:pStyle w:val="TableContents"/>
              <w:bidi w:val="0"/>
              <w:spacing w:before="0" w:after="283"/>
              <w:jc w:val="left"/>
              <w:rPr>
                <w:b/>
              </w:rPr>
            </w:pPr>
            <w:r>
              <w:rPr>
                <w:b/>
              </w:rPr>
              <w:t>Five percent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298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2953"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37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2012 Revocable Trust of Andrew Redleaf </w:t>
            </w:r>
            <w:r>
              <w:rPr>
                <w:rFonts w:ascii="Times New Roman;Times;Serif" w:hAnsi="Times New Roman;Times;Serif"/>
                <w:position w:val="7"/>
                <w:sz w:val="16"/>
                <w:sz w:val="20"/>
              </w:rPr>
              <w:t>(1)</w:t>
            </w:r>
            <w:r>
              <w:rPr>
                <w:rFonts w:ascii="Times New Roman;Times;Serif" w:hAnsi="Times New Roman;Times;Serif"/>
                <w:sz w:val="20"/>
              </w:rPr>
              <w:br/>
              <w:t xml:space="preserve">3033 Excelsior Boulevard </w:t>
              <w:br/>
              <w:t>Minneapolis, MN 55416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7,931,717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2953" w:type="dxa"/>
            <w:tcBorders/>
            <w:shd w:fill="FFFFFF" w:val="clear"/>
            <w:tcMar>
              <w:bottom w:w="0" w:type="dxa"/>
            </w:tcMar>
            <w:vAlign w:val="center"/>
          </w:tcPr>
          <w:p>
            <w:pPr>
              <w:pStyle w:val="TableContents"/>
              <w:bidi w:val="0"/>
              <w:spacing w:before="0" w:after="283"/>
              <w:jc w:val="right"/>
              <w:rPr/>
            </w:pPr>
            <w:r>
              <w:rPr/>
              <w:t>7.77</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33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Joseph Kiani Dynasty Trust </w:t>
            </w:r>
            <w:r>
              <w:rPr>
                <w:rFonts w:ascii="Times New Roman;Times;Serif" w:hAnsi="Times New Roman;Times;Serif"/>
                <w:position w:val="7"/>
                <w:sz w:val="16"/>
                <w:sz w:val="20"/>
              </w:rPr>
              <w:t>(2)</w:t>
            </w:r>
            <w:r>
              <w:rPr>
                <w:rFonts w:ascii="Times New Roman;Times;Serif" w:hAnsi="Times New Roman;Times;Serif"/>
                <w:sz w:val="20"/>
              </w:rPr>
              <w:br/>
              <w:t xml:space="preserve">52 Discovery </w:t>
              <w:br/>
              <w:t>Irvine, CA 92618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2986" w:type="dxa"/>
            <w:tcBorders/>
            <w:shd w:fill="CCEEFF" w:val="clear"/>
            <w:tcMar>
              <w:bottom w:w="0" w:type="dxa"/>
            </w:tcMar>
            <w:vAlign w:val="center"/>
          </w:tcPr>
          <w:p>
            <w:pPr>
              <w:pStyle w:val="TableContents"/>
              <w:bidi w:val="0"/>
              <w:spacing w:before="0" w:after="283"/>
              <w:jc w:val="right"/>
              <w:rPr/>
            </w:pPr>
            <w:r>
              <w:rPr/>
              <w:t>10,106,501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2953" w:type="dxa"/>
            <w:tcBorders/>
            <w:shd w:fill="CCEEFF" w:val="clear"/>
            <w:tcMar>
              <w:bottom w:w="0" w:type="dxa"/>
            </w:tcMar>
            <w:vAlign w:val="center"/>
          </w:tcPr>
          <w:p>
            <w:pPr>
              <w:pStyle w:val="TableContents"/>
              <w:bidi w:val="0"/>
              <w:spacing w:before="0" w:after="283"/>
              <w:jc w:val="right"/>
              <w:rPr/>
            </w:pPr>
            <w:r>
              <w:rPr/>
              <w:t>9.99</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337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Arbiter Partners QP, LP. </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4,959,378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2953" w:type="dxa"/>
            <w:tcBorders/>
            <w:shd w:fill="FFFFFF" w:val="clear"/>
            <w:tcMar>
              <w:bottom w:w="0" w:type="dxa"/>
            </w:tcMar>
            <w:vAlign w:val="center"/>
          </w:tcPr>
          <w:p>
            <w:pPr>
              <w:pStyle w:val="TableContents"/>
              <w:bidi w:val="0"/>
              <w:spacing w:before="0" w:after="283"/>
              <w:jc w:val="right"/>
              <w:rPr/>
            </w:pPr>
            <w:r>
              <w:rPr/>
              <w:t>4.99</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33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530 Fifth Avenue, 20</w:t>
            </w:r>
            <w:r>
              <w:rPr>
                <w:rFonts w:ascii="Times New Roman;Times;Serif" w:hAnsi="Times New Roman;Times;Serif"/>
                <w:position w:val="7"/>
                <w:sz w:val="16"/>
                <w:sz w:val="20"/>
              </w:rPr>
              <w:t>th</w:t>
            </w:r>
            <w:r>
              <w:rPr>
                <w:rFonts w:ascii="Times New Roman;Times;Serif" w:hAnsi="Times New Roman;Times;Serif"/>
                <w:sz w:val="20"/>
              </w:rPr>
              <w:t xml:space="preserve"> FL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298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2953"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376" w:type="dxa"/>
            <w:tcBorders/>
            <w:shd w:fill="FFFFFF" w:val="clear"/>
            <w:tcMar>
              <w:bottom w:w="0" w:type="dxa"/>
            </w:tcMar>
            <w:vAlign w:val="center"/>
          </w:tcPr>
          <w:p>
            <w:pPr>
              <w:pStyle w:val="TableContents"/>
              <w:bidi w:val="0"/>
              <w:spacing w:before="0" w:after="283"/>
              <w:jc w:val="left"/>
              <w:rPr/>
            </w:pPr>
            <w:r>
              <w:rPr/>
              <w:t>New York, NY 10036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2953"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376"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DAFNA Capital Management, LLC </w:t>
            </w:r>
            <w:r>
              <w:rPr>
                <w:rFonts w:ascii="Times New Roman;Times;Serif" w:hAnsi="Times New Roman;Times;Serif"/>
                <w:b w:val="false"/>
                <w:i w:val="false"/>
                <w:caps w:val="false"/>
                <w:smallCaps w:val="false"/>
                <w:position w:val="7"/>
                <w:sz w:val="16"/>
                <w:sz w:val="20"/>
              </w:rPr>
              <w:t>(4)</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10990 Wilshire Boulevard, Suite 1400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2986" w:type="dxa"/>
            <w:tcBorders/>
            <w:shd w:fill="CCEEFF" w:val="clear"/>
            <w:tcMar>
              <w:bottom w:w="0" w:type="dxa"/>
            </w:tcMar>
            <w:vAlign w:val="center"/>
          </w:tcPr>
          <w:p>
            <w:pPr>
              <w:pStyle w:val="TableContents"/>
              <w:bidi w:val="0"/>
              <w:spacing w:before="0" w:after="283"/>
              <w:jc w:val="right"/>
              <w:rPr/>
            </w:pPr>
            <w:r>
              <w:rPr/>
              <w:t>13,680,554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2953" w:type="dxa"/>
            <w:tcBorders/>
            <w:shd w:fill="CCEEFF" w:val="clear"/>
            <w:tcMar>
              <w:bottom w:w="0" w:type="dxa"/>
            </w:tcMar>
            <w:vAlign w:val="center"/>
          </w:tcPr>
          <w:p>
            <w:pPr>
              <w:pStyle w:val="TableContents"/>
              <w:bidi w:val="0"/>
              <w:spacing w:before="0" w:after="283"/>
              <w:jc w:val="right"/>
              <w:rPr/>
            </w:pPr>
            <w:r>
              <w:rPr/>
              <w:t>14.07</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3376" w:type="dxa"/>
            <w:tcBorders/>
            <w:shd w:fill="FFFFFF" w:val="clear"/>
            <w:tcMar>
              <w:bottom w:w="0" w:type="dxa"/>
            </w:tcMar>
            <w:vAlign w:val="center"/>
          </w:tcPr>
          <w:p>
            <w:pPr>
              <w:pStyle w:val="TableContents"/>
              <w:bidi w:val="0"/>
              <w:spacing w:before="0" w:after="283"/>
              <w:jc w:val="left"/>
              <w:rPr>
                <w:b/>
              </w:rPr>
            </w:pPr>
            <w:r>
              <w:rPr>
                <w:b/>
              </w:rPr>
              <w:t>Directors and Named 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2953"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3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David W. Benfer </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2986" w:type="dxa"/>
            <w:tcBorders/>
            <w:shd w:fill="CCEEFF" w:val="clear"/>
            <w:tcMar>
              <w:bottom w:w="0" w:type="dxa"/>
            </w:tcMar>
            <w:vAlign w:val="center"/>
          </w:tcPr>
          <w:p>
            <w:pPr>
              <w:pStyle w:val="TableContents"/>
              <w:bidi w:val="0"/>
              <w:spacing w:before="0" w:after="283"/>
              <w:jc w:val="right"/>
              <w:rPr/>
            </w:pPr>
            <w:r>
              <w:rPr/>
              <w:t>463,304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29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376" w:type="dxa"/>
            <w:tcBorders/>
            <w:shd w:fill="FFFFFF" w:val="clear"/>
            <w:tcMar>
              <w:bottom w:w="0" w:type="dxa"/>
            </w:tcMar>
            <w:vAlign w:val="center"/>
          </w:tcPr>
          <w:p>
            <w:pPr>
              <w:pStyle w:val="TableContents"/>
              <w:bidi w:val="0"/>
              <w:spacing w:before="0" w:after="283"/>
              <w:jc w:val="left"/>
              <w:rPr/>
            </w:pPr>
            <w:r>
              <w:rPr/>
              <w:t>Arun S. Menawat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569,285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29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3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Nathan Fischel, M.D. </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2986" w:type="dxa"/>
            <w:tcBorders/>
            <w:shd w:fill="CCEEFF" w:val="clear"/>
            <w:tcMar>
              <w:bottom w:w="0" w:type="dxa"/>
            </w:tcMar>
            <w:vAlign w:val="center"/>
          </w:tcPr>
          <w:p>
            <w:pPr>
              <w:pStyle w:val="TableContents"/>
              <w:bidi w:val="0"/>
              <w:spacing w:before="0" w:after="283"/>
              <w:jc w:val="right"/>
              <w:rPr/>
            </w:pPr>
            <w:r>
              <w:rPr/>
              <w:t>13,935,054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2953" w:type="dxa"/>
            <w:tcBorders/>
            <w:shd w:fill="CCEEFF" w:val="clear"/>
            <w:tcMar>
              <w:bottom w:w="0" w:type="dxa"/>
            </w:tcMar>
            <w:vAlign w:val="center"/>
          </w:tcPr>
          <w:p>
            <w:pPr>
              <w:pStyle w:val="TableContents"/>
              <w:bidi w:val="0"/>
              <w:spacing w:before="0" w:after="283"/>
              <w:jc w:val="right"/>
              <w:rPr/>
            </w:pPr>
            <w:r>
              <w:rPr/>
              <w:t>14.33</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3376" w:type="dxa"/>
            <w:tcBorders/>
            <w:shd w:fill="FFFFFF" w:val="clear"/>
            <w:tcMar>
              <w:bottom w:w="0" w:type="dxa"/>
            </w:tcMar>
            <w:vAlign w:val="center"/>
          </w:tcPr>
          <w:p>
            <w:pPr>
              <w:pStyle w:val="TableContents"/>
              <w:bidi w:val="0"/>
              <w:spacing w:before="0" w:after="283"/>
              <w:jc w:val="left"/>
              <w:rPr/>
            </w:pPr>
            <w:r>
              <w:rPr/>
              <w:t>Ross Levin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154,973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29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376" w:type="dxa"/>
            <w:tcBorders/>
            <w:shd w:fill="CCEEFF" w:val="clear"/>
            <w:tcMar>
              <w:bottom w:w="0" w:type="dxa"/>
            </w:tcMar>
            <w:vAlign w:val="center"/>
          </w:tcPr>
          <w:p>
            <w:pPr>
              <w:pStyle w:val="TableContents"/>
              <w:bidi w:val="0"/>
              <w:spacing w:before="0" w:after="283"/>
              <w:jc w:val="left"/>
              <w:rPr/>
            </w:pPr>
            <w:r>
              <w:rPr/>
              <w:t>Myriam Curet,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29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29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376" w:type="dxa"/>
            <w:tcBorders/>
            <w:shd w:fill="FFFFFF" w:val="clear"/>
            <w:tcMar>
              <w:bottom w:w="0" w:type="dxa"/>
            </w:tcMar>
            <w:vAlign w:val="center"/>
          </w:tcPr>
          <w:p>
            <w:pPr>
              <w:pStyle w:val="TableContents"/>
              <w:bidi w:val="0"/>
              <w:spacing w:before="0" w:after="283"/>
              <w:jc w:val="left"/>
              <w:rPr/>
            </w:pPr>
            <w:r>
              <w:rPr/>
              <w:t>Nachum Shamir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29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376" w:type="dxa"/>
            <w:tcBorders/>
            <w:shd w:fill="CCEEFF" w:val="clear"/>
            <w:tcMar>
              <w:bottom w:w="0" w:type="dxa"/>
            </w:tcMar>
            <w:vAlign w:val="center"/>
          </w:tcPr>
          <w:p>
            <w:pPr>
              <w:pStyle w:val="TableContents"/>
              <w:bidi w:val="0"/>
              <w:spacing w:before="0" w:after="283"/>
              <w:jc w:val="left"/>
              <w:rPr/>
            </w:pPr>
            <w:r>
              <w:rPr/>
              <w:t>David L. Fischel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2986" w:type="dxa"/>
            <w:tcBorders/>
            <w:shd w:fill="CCEEFF" w:val="clear"/>
            <w:tcMar>
              <w:bottom w:w="0" w:type="dxa"/>
            </w:tcMar>
            <w:vAlign w:val="center"/>
          </w:tcPr>
          <w:p>
            <w:pPr>
              <w:pStyle w:val="TableContents"/>
              <w:bidi w:val="0"/>
              <w:spacing w:before="0" w:after="283"/>
              <w:jc w:val="right"/>
              <w:rPr/>
            </w:pPr>
            <w:r>
              <w:rPr/>
              <w:t>255,000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29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37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Kimberly R. Peery </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2986" w:type="dxa"/>
            <w:tcBorders/>
            <w:shd w:fill="FFFFFF" w:val="clear"/>
            <w:tcMar>
              <w:bottom w:w="0" w:type="dxa"/>
            </w:tcMar>
            <w:vAlign w:val="center"/>
          </w:tcPr>
          <w:p>
            <w:pPr>
              <w:pStyle w:val="TableContents"/>
              <w:bidi w:val="0"/>
              <w:spacing w:before="0" w:after="283"/>
              <w:jc w:val="right"/>
              <w:rPr/>
            </w:pPr>
            <w:r>
              <w:rPr/>
              <w:t>240,109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29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376" w:type="dxa"/>
            <w:tcBorders/>
            <w:shd w:fill="CCEEFF" w:val="clear"/>
            <w:tcMar>
              <w:bottom w:w="0" w:type="dxa"/>
            </w:tcMar>
            <w:vAlign w:val="center"/>
          </w:tcPr>
          <w:p>
            <w:pPr>
              <w:pStyle w:val="TableContents"/>
              <w:bidi w:val="0"/>
              <w:spacing w:before="0" w:after="283"/>
              <w:jc w:val="left"/>
              <w:rPr/>
            </w:pPr>
            <w:r>
              <w:rPr/>
              <w:t>All directors and executive officers as a group (8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2986" w:type="dxa"/>
            <w:tcBorders/>
            <w:shd w:fill="CCEEFF" w:val="clear"/>
            <w:tcMar>
              <w:bottom w:w="0" w:type="dxa"/>
            </w:tcMar>
            <w:vAlign w:val="center"/>
          </w:tcPr>
          <w:p>
            <w:pPr>
              <w:pStyle w:val="TableContents"/>
              <w:bidi w:val="0"/>
              <w:spacing w:before="0" w:after="283"/>
              <w:jc w:val="right"/>
              <w:rPr/>
            </w:pPr>
            <w:r>
              <w:rPr/>
              <w:t>15,617,725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2953" w:type="dxa"/>
            <w:tcBorders/>
            <w:shd w:fill="CCEEFF" w:val="clear"/>
            <w:tcMar>
              <w:bottom w:w="0" w:type="dxa"/>
            </w:tcMar>
            <w:vAlign w:val="center"/>
          </w:tcPr>
          <w:p>
            <w:pPr>
              <w:pStyle w:val="TableContents"/>
              <w:bidi w:val="0"/>
              <w:spacing w:before="0" w:after="283"/>
              <w:jc w:val="right"/>
              <w:rPr/>
            </w:pPr>
            <w:r>
              <w:rPr/>
              <w:t>16.03</w:t>
            </w:r>
          </w:p>
        </w:tc>
        <w:tc>
          <w:tcPr>
            <w:tcW w:w="23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ownership of less than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Company’s records. Includes 4,854,794 shares of common stock issuable upon conversion of Series A Convertible Preferred Stock. The conversion of the Series A Convertible Preferred Stock is restricted to the extent that, upon such conversion, the number of shares of common stock then beneficially owned by the holder of such securities and its affiliates would exceed 9.99% of our common stock then outstanding.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both"/>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a Schedule 13G filed by Joe Kiani on June 9, 2021, and the Company’s records. Excludes 5,756,934 shares of common stock issuable upon conversion of Series A Convertible Preferred Stock held by the Joseph Kiani Dynasty Trust. The conversion of the Series A Convertible Preferred Stock is restricted to the extent that, upon such conversion, the number of shares of common stock then beneficially owned by the holder of such securities and its affiliates would exceed 9.99% of our common stock then outstanding. </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records and a Form 4 filed by Arbiter Partners Capital Management LLC on behalf of Paul Isaac on March 11, 2025. Excludes 5,109,371 shares of common stock issuable upon conversion of Series A Convertible Preferred Stock held by Arbiter. The conversion of the Series A Convertible Preferred Stock is restricted to the extent that, upon such conversion or exercise, the number of shares of common stock then beneficially owned by the holder of such securities and its affiliates would exceed 4.99% of our common stock then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both"/>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records and a Schedule 13D filed on March 8, 2018 by DAFNA Capital Management, LLC, in its capacity as investment adviser to DAFNA LifeScience Ltd., DAFNA LifeScience Market Neutral Ltd., and DAFNA LifeScience Select Ltd. (collectively, the “Funds”), each of which entities is a Cayman Islands exempted company. In such capacity, DAFNA Capital Management, LLC may be deemed to be the beneficial owner of the shares of our common stock owned by the Funds, as in its capacity as investment adviser it has the power to dispose, direct the disposition of, and vote our shares owned by the Funds. Nathan Fischel and Fariba Ghodsian are part-owners of DAFNA Capital Management and managing members. As controlling persons of DAFNA Capital Management, they may be deemed to beneficially own the shares of our common stock owned by the Funds. Pursuant to Rule 13d-4, Drs. Fischel and Ghodsian disclaim beneficial ownership of the securities owned by the Funds. This amount excludes an aggregate of 19,419,178 shares of common stock issuable upon conversion of Series A Convertible Preferred Stock. The conversion of the Series A Convertible Preferred Stock is restricted to the extent that, upon such conversion, the number of shares of common stock then beneficially owned by the holder of such securities and its affiliates would exceed 4.99% of our common stock then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both"/>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2,700 shares of common stock held by Mr. Benfer’s spouse, and 210,255 shares of common stock held by the Benfer Family Trust TTEE.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both"/>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4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13,680,554 shares of common stock held by DAFNA Capital Management, LLC, in its capacity as investment advisor to DAFNA LifeScience Ltd., DAFNA LifeScience Market Neutral Ltd., and DAFNA LifeScience Select Ltd. (collectively, the “Funds”). This number of shares excludes an aggregate of 19,419,178 shares of common stock issuable upon conversion of Series A Convertible Preferred Stock held by the Funds. Dr. Fischel disclaims beneficial ownership of the shares and warrants owned by the Funds. The conversion of the Series A Convertible Preferred Stock is restricted to the extent that, upon such conversion, the number of shares of common stock then beneficially owned by the holder of such securities and its affiliates would exceed 4.99% of our common stock then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both"/>
              <w:rPr>
                <w:caps w:val="false"/>
                <w:smallCaps w:val="false"/>
              </w:rPr>
            </w:pPr>
            <w:r>
              <w:rPr>
                <w:caps w:val="false"/>
                <w:smallCaps w:val="false"/>
              </w:rPr>
              <w:t> </w:t>
            </w:r>
          </w:p>
        </w:tc>
        <w:tc>
          <w:tcPr>
            <w:tcW w:w="99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4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236,792 shares of common stock.</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 w:name="a_014"/>
      <w:bookmarkEnd w:id="69"/>
      <w:r>
        <w:rPr>
          <w:rFonts w:ascii="Times New Roman;Times;Serif" w:hAnsi="Times New Roman;Times;Serif"/>
          <w:b/>
          <w:i w:val="false"/>
          <w:caps w:val="false"/>
          <w:smallCaps w:val="false"/>
          <w:sz w:val="20"/>
        </w:rPr>
        <w:t>REPORT OF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three non-employee directors serve on the Audit Committee. Each is independent as defined by Section 803 of the NYSE American Company Guide and Rule 10-A-3(b)(1) of the Securities Exchange Act of 1934. The Board has adopted a written charter for the Audit Committee, which is posted on our website at www.stereotaxis.com, Investors,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assists the Board in providing oversight of our accounting and financial reporting process. Management has the primary responsibility for the financial statements and the reporting process, including our systems of internal control. Ernst &amp; Young, LLP (“EY”), the Company’s independent registered public accounting firm for 2025 is responsible for performing an independent audit of the Company’s consolidated financial statements in accordance with the standards of the Public Company Accounting Oversight Board (United States) (“PCAOB”) and expressing an opinion on the conformity of the Company’s audited financial statements with U.S. generally accepted accounting principles. In addition, the Company engages another accounting firm for assistance with internal audit services and their analysis is provided to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reviews with management the Company’s major financial risk exposures, and the steps management has taken to monitor, mitigate, and control such exposures. Management has the responsibility for the implementation of these activities. In fulfilling its oversight responsibilities, the Audit Committee reviewed and discussed the audited financial statements to be included in the Annual Report on Form 10-K for the year ended December 31, 2025, with management, including a discussion of the quality and the acceptability of the Company’s financial reporting practices and the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also discussed with the Company’s internal audit service provider and EY in advance the overall scope and plans for their respective audits. The Audit Committee meets regularly with the internal audit service provider and EY, with and without management present, to discuss the results of their examinations, their evaluations of the Company’s internal controls, and the overall quality of the Company’s financial reporting. The Audit Committee discussed with EY the matters required to be discussed by the applicable requirements of the PCAOB and the SEC and has received and discussed with EY the written disclosures and letter from EY required by applicable requirements of the PCAOB regarding communications with the Audit Committee concerning independence and has discussed with EY its independence from the Company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reliance on the reviews and discussions referred to above, the Audit Committee recommended to the Board of Directors that the audited financial statements be included in our Annual Report on Form 10-K for the fiscal year ended December 31, 2025, for filing with the SEC. Submitted by the Audit Committee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Ross Levin, Chair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W. Benfer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Nachum Shamir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of the Audit Committee will not be deemed incorporated by reference by any general statement incorporating by reference this proxy statement or portions thereof into any filing under the Securities Act of 1933 or the Securities Exchange Act of 1934, except to the extent that we specifically incorporate by reference the Audit Committee report and will not otherwise be deemed filed under such Acts.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 w:name="a_015"/>
      <w:bookmarkEnd w:id="70"/>
      <w:r>
        <w:rPr>
          <w:rFonts w:ascii="Times New Roman;Times;Serif" w:hAnsi="Times New Roman;Times;Serif"/>
          <w:b/>
          <w:i w:val="false"/>
          <w:caps w:val="false"/>
          <w:smallCaps w:val="false"/>
          <w:sz w:val="20"/>
        </w:rPr>
        <w:t>PROPOSAL 1: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bylaws, the number of directors of the Company may be fixed or changed from time to time by resolution of a majority of the Board of Directors, provided the number shall be no less than three and no more than fifteen. Currently, the Board has set the number of directors of the Company at nine. The directors are divided into three classes: Class I, Class II and Class III, each class to be as equal in number as possible. The directors in each class are elected for a term of three years. Currently, there is one vacancy in Class II and one vacancy in Class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elect three (3) directors, Mr. David Benfer, Dr. Arun Menawat and Dr. Myriam Curet, as Class I directors, to serve until the 2029 Annual Meeting and until their respective successors are duly elected and qualified.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contemplate that the nominees will be unable to stand for election, but should the nominees become unable to serve or for good cause will not serve, all proxies (except proxies marked to the contrary) will be voted for the election of any substitute nominee recommended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A VOTE “FOR” THE ELECTION OF THE NAMED NOMINEES AS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 w:name="a_016"/>
      <w:bookmarkEnd w:id="71"/>
      <w:r>
        <w:rPr>
          <w:rFonts w:ascii="Times New Roman;Times;Serif" w:hAnsi="Times New Roman;Times;Serif"/>
          <w:b/>
          <w:i w:val="false"/>
          <w:caps w:val="false"/>
          <w:smallCaps w:val="false"/>
          <w:sz w:val="20"/>
        </w:rPr>
        <w:t>PROPOSAL 2: RATIFICATION OF INDEPENDENT REGISTERED PUBLIC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pursuant to its charter, has appointed Ernst &amp; Young LLP as the Company’s independent registered public accountants to examine the financial statements of the Company for our 2026 fiscal year. A representative of Ernst &amp; Young LLP is expected to be present at the Annual Meeting with the opportunity to make a statement if he or she desires to do so and to be available to respond to appropriate questions from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Audit Committee is responsible for the appointment, compensation, retention, termination and oversight of the independent registered public accounting firm, the Audit Committee and our Board are requesting, as a matter of policy, that the shareholders ratify the appointment of Ernst &amp; Young LLP as the Company’s independent registered public accountants for 2026. The outcome of this vote does not require the Audit Committee to take any action. However, if the shareholders do not ratify the appointment, the Audit Committee may investigate the reasons for shareholder rejection and may consider whether to retain Ernst &amp; Young LLP or to appoint another firm. Furthermore, even if the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present in person or by proxy and entitled to vote at the Annual Meeting will be required to ratify the selection of Ernst &amp; Young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A VOTE “FOR” THE RATIFICATION OF THE APPOINTMENT OF ERNST &amp; YOUNG LLP AS THE COMPANY’S INDEPENDENT REGISTERED PUBLIC ACCOUNTING FIRM FOR FISCAL YEAR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 w:name="a_017"/>
      <w:bookmarkEnd w:id="72"/>
      <w:r>
        <w:rPr>
          <w:rFonts w:ascii="Times New Roman;Times;Serif" w:hAnsi="Times New Roman;Times;Serif"/>
          <w:b/>
          <w:i w:val="false"/>
          <w:caps w:val="false"/>
          <w:smallCaps w:val="false"/>
          <w:sz w:val="20"/>
        </w:rPr>
        <w:t>PROPOSAL 3: TO APPROVE, BY NON-BINDNG VOTE,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believes that long-term incentive compensation programs align the interests of management, employees, and the shareholders to create long-term shareholder value. The Board believes that these programs increase our ability to achieve this objective by allowing for several different forms of long-term incentive awards, which the Board believes will help us recruit, reward, motivate and retain talented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14A of the Exchange Act, our Board of Directors is again submitting a non-binding shareholder vote on our executive compensation as described in this proxy statement (commonly referred to as “say-on-pay”). This vote is currently conducted every three years, and if approved by shareholders, the next vote will be in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this vote is advisory and not binding on our Company, it will provide information to our Compensation Committee regarding shareholders’ sentiment about our executive compensation philosophy and practices, which the committee will be able to consider when determining executive compensation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you consider how to cast your vote, we encourage you to review the “Executive Compensation Summary and Analysis” section of this proxy statement as well as the executive compensation tables and related narratives. As described in those sections, the primary goals of our executive compensation program are to attract, retain and motivate highly qualified executives and to align their interests with those of our shareholders. Our program, consisting of a mix of base salary, annual cash bonus, and equity awards, is designed to reflect a balance between short-term and long-term goals to create value for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this proposal requires the affirmative vote of a majority of the shares present in person or represented by proxy at the Annual Meeting and entitled to vote on the proposal. Because brokers are not permitted to vote on this proposal in the absence of voting instructions from beneficial owners, broker non-votes will have no effect on the outcome of this proposal. Abstentions will have the effect of negative votes.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this vote is advisory, it will not be binding on the Company, the Board of Directors, or the Compensation Committee. However, the Board of Directors and the Compensation Committee value the opinions of our shareholders and will consider the outcome of the vote in making future executive compensation decisions.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the shareholders approve, on an advisory basis, the compensation of the Company’s Named Executive Officers as described in this proxy statement under “Executive Compensation”, including the “Executive Compensation Summary and Analysis” and the tabular and narrative disclosure contained in this proxy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UNANIMOUSLY RECOMMENDS A VOTE “FOR” THE APPROVAL OF THE COMPANY’S EXECUTIVE COMPENSATION.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 w:name="a_018"/>
      <w:bookmarkEnd w:id="73"/>
      <w:r>
        <w:rPr>
          <w:rFonts w:ascii="Times New Roman;Times;Serif" w:hAnsi="Times New Roman;Times;Serif"/>
          <w:b/>
          <w:i w:val="false"/>
          <w:caps w:val="false"/>
          <w:smallCaps w:val="false"/>
          <w:sz w:val="20"/>
        </w:rPr>
        <w:t>PRINCIPAL ACCOUNTING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fees charged by Ernst &amp; Young LLP, our independent registered public accountants, for professional services for fiscal year 2024 and an estimate of the fees we expect to be billed by Ernst &amp; Young LLP for professional services for fiscal year 2025:</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57"/>
        <w:gridCol w:w="60"/>
        <w:gridCol w:w="161"/>
        <w:gridCol w:w="925"/>
        <w:gridCol w:w="69"/>
        <w:gridCol w:w="69"/>
        <w:gridCol w:w="161"/>
        <w:gridCol w:w="925"/>
        <w:gridCol w:w="78"/>
      </w:tblGrid>
      <w:tr>
        <w:trPr/>
        <w:tc>
          <w:tcPr>
            <w:tcW w:w="77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Amount Billed for Fiscal Year</w:t>
            </w:r>
          </w:p>
        </w:tc>
        <w:tc>
          <w:tcPr>
            <w:tcW w:w="78" w:type="dxa"/>
            <w:tcBorders/>
            <w:vAlign w:val="center"/>
          </w:tcPr>
          <w:p>
            <w:pPr>
              <w:pStyle w:val="TableContents"/>
              <w:bidi w:val="0"/>
              <w:spacing w:before="0" w:after="283"/>
              <w:jc w:val="left"/>
              <w:rPr/>
            </w:pPr>
            <w:r>
              <w:rPr/>
              <w:t> </w:t>
            </w:r>
          </w:p>
        </w:tc>
      </w:tr>
      <w:tr>
        <w:trPr/>
        <w:tc>
          <w:tcPr>
            <w:tcW w:w="7757" w:type="dxa"/>
            <w:tcBorders>
              <w:bottom w:val="single" w:sz="8" w:space="0" w:color="000000"/>
            </w:tcBorders>
            <w:tcMar>
              <w:bottom w:w="28" w:type="dxa"/>
            </w:tcMar>
            <w:vAlign w:val="center"/>
          </w:tcPr>
          <w:p>
            <w:pPr>
              <w:pStyle w:val="TableContents"/>
              <w:bidi w:val="0"/>
              <w:spacing w:before="0" w:after="283"/>
              <w:jc w:val="left"/>
              <w:rPr>
                <w:b/>
              </w:rPr>
            </w:pPr>
            <w:r>
              <w:rPr>
                <w:b/>
              </w:rPr>
              <w:t>Description of Professional Service</w:t>
            </w:r>
          </w:p>
        </w:tc>
        <w:tc>
          <w:tcPr>
            <w:tcW w:w="60"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8" w:type="dxa"/>
            <w:tcBorders/>
            <w:vAlign w:val="center"/>
          </w:tcPr>
          <w:p>
            <w:pPr>
              <w:pStyle w:val="TableContents"/>
              <w:bidi w:val="0"/>
              <w:spacing w:before="0" w:after="283"/>
              <w:jc w:val="left"/>
              <w:rPr/>
            </w:pPr>
            <w:r>
              <w:rPr/>
              <w:t> </w:t>
            </w:r>
          </w:p>
        </w:tc>
      </w:tr>
      <w:tr>
        <w:trPr/>
        <w:tc>
          <w:tcPr>
            <w:tcW w:w="7757"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Audit Fees </w:t>
            </w:r>
            <w:r>
              <w:rPr>
                <w:rFonts w:ascii="Times New Roman;Times;Serif" w:hAnsi="Times New Roman;Times;Serif"/>
                <w:b w:val="false"/>
                <w:i w:val="false"/>
                <w:caps w:val="false"/>
                <w:smallCaps w:val="false"/>
                <w:sz w:val="20"/>
              </w:rPr>
              <w:t>– professional services rendered by Ernst &amp; Young LLP for the audit of our annual financial statements, the review procedures on the financial statements included in our Forms 10-Q, as well as services that are normally provided by the accountant in connection with Securities and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Commission filings for those fiscal years.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563,485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537,000</w:t>
            </w:r>
          </w:p>
        </w:tc>
        <w:tc>
          <w:tcPr>
            <w:tcW w:w="78" w:type="dxa"/>
            <w:tcBorders/>
            <w:shd w:fill="CCEEFF" w:val="clear"/>
            <w:vAlign w:val="center"/>
          </w:tcPr>
          <w:p>
            <w:pPr>
              <w:pStyle w:val="TableContents"/>
              <w:bidi w:val="0"/>
              <w:spacing w:before="0" w:after="283"/>
              <w:jc w:val="left"/>
              <w:rPr/>
            </w:pPr>
            <w:r>
              <w:rPr/>
              <w:t> </w:t>
            </w:r>
          </w:p>
        </w:tc>
      </w:tr>
      <w:tr>
        <w:trPr/>
        <w:tc>
          <w:tcPr>
            <w:tcW w:w="7757"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Audit-Related Fees</w:t>
            </w:r>
            <w:r>
              <w:rPr>
                <w:rFonts w:ascii="Times New Roman;Times;Serif" w:hAnsi="Times New Roman;Times;Serif"/>
                <w:b w:val="false"/>
                <w:i w:val="false"/>
                <w:caps w:val="false"/>
                <w:smallCaps w:val="false"/>
                <w:sz w:val="20"/>
              </w:rPr>
              <w:t xml:space="preserve"> – assurance and related services by Ernst &amp; Young LLP that are reasonably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to the performance of the audit or review of financial statements and are not reported as “Audit Fees.”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7757"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Fees</w:t>
            </w:r>
            <w:r>
              <w:rPr>
                <w:rFonts w:ascii="Times New Roman;Times;Serif" w:hAnsi="Times New Roman;Times;Serif"/>
                <w:b w:val="false"/>
                <w:i w:val="false"/>
                <w:caps w:val="false"/>
                <w:smallCaps w:val="false"/>
                <w:sz w:val="20"/>
              </w:rPr>
              <w:t xml:space="preserve"> – professional services rendered by Ernst &amp; Young LLP for tax compliance, tax advice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tax planning.</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7757" w:type="dxa"/>
            <w:tcBorders/>
            <w:shd w:fill="FFFFFF" w:val="clear"/>
            <w:vAlign w:val="center"/>
          </w:tcPr>
          <w:p>
            <w:pPr>
              <w:pStyle w:val="TableContents"/>
              <w:bidi w:val="0"/>
              <w:spacing w:before="0" w:after="283"/>
              <w:jc w:val="left"/>
              <w:rPr>
                <w:i/>
              </w:rPr>
            </w:pPr>
            <w:r>
              <w:rPr>
                <w:i/>
              </w:rPr>
              <w:t>All Other Fees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7757" w:type="dxa"/>
            <w:tcBorders/>
            <w:shd w:fill="CCEEFF" w:val="clear"/>
            <w:vAlign w:val="center"/>
          </w:tcPr>
          <w:p>
            <w:pPr>
              <w:pStyle w:val="TableContents"/>
              <w:bidi w:val="0"/>
              <w:spacing w:before="0" w:after="283"/>
              <w:jc w:val="left"/>
              <w:rPr>
                <w:b/>
              </w:rPr>
            </w:pPr>
            <w:r>
              <w:rPr>
                <w:b/>
              </w:rPr>
              <w:t>Total Ernst &amp; Young LLP Fees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b/>
              </w:rPr>
            </w:pPr>
            <w:r>
              <w:rPr>
                <w:b/>
              </w:rPr>
              <w:t>$</w:t>
            </w:r>
          </w:p>
        </w:tc>
        <w:tc>
          <w:tcPr>
            <w:tcW w:w="925" w:type="dxa"/>
            <w:tcBorders/>
            <w:shd w:fill="CCEEFF" w:val="clear"/>
            <w:vAlign w:val="center"/>
          </w:tcPr>
          <w:p>
            <w:pPr>
              <w:pStyle w:val="TableContents"/>
              <w:bidi w:val="0"/>
              <w:spacing w:before="0" w:after="283"/>
              <w:jc w:val="right"/>
              <w:rPr>
                <w:b/>
              </w:rPr>
            </w:pPr>
            <w:r>
              <w:rPr>
                <w:b/>
              </w:rPr>
              <w:t>563,485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b/>
              </w:rPr>
            </w:pPr>
            <w:r>
              <w:rPr>
                <w:b/>
              </w:rPr>
              <w:t>$</w:t>
            </w:r>
          </w:p>
        </w:tc>
        <w:tc>
          <w:tcPr>
            <w:tcW w:w="925" w:type="dxa"/>
            <w:tcBorders/>
            <w:shd w:fill="CCEEFF" w:val="clear"/>
            <w:vAlign w:val="center"/>
          </w:tcPr>
          <w:p>
            <w:pPr>
              <w:pStyle w:val="TableContents"/>
              <w:bidi w:val="0"/>
              <w:spacing w:before="0" w:after="283"/>
              <w:jc w:val="right"/>
              <w:rPr>
                <w:b/>
              </w:rPr>
            </w:pPr>
            <w:r>
              <w:rPr>
                <w:b/>
              </w:rPr>
              <w:t>537,000</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Audit Committee charter, it is the Audit Committee’s policy and procedure to review, consider, and pre-approve, where appropriate, all audit and non-audit engagement services to be performed by our independent registered public accountants. All the audit services provided by Ernst &amp; Young LLP during fiscal year 2025 were pre-approved in accordance with the Audit Committee’s policy.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 w:name="a_019"/>
      <w:bookmarkEnd w:id="74"/>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review all relationships and transactions in which the Company and our directors, executive officers or their immediate family members participate to determine whether such persons have a direct or indirect material interest in such transactions or relationships. In addition, our Code of Conduct prohibits our officers, directors, and employees from engaging in activities that involve, or even appear to involve, a conflict between their personal interest and the interests of the Company. Our Code of Conduct encourages our employees to report to us an actual or apparent conflict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or the Audit Committee, in either case, with any directors involved in the relevant transaction recusing themselves from the discussion and decision, reviews all related party transactions involving the Company and any of the Company’s principal shareholders or members of our Board of Directors or senior management or any immediate family member of any of the foregoing. A general statement of this policy is set forth in our Audit Committee charter, which is published on our website at www.stereotaxis.com, Investors, Governance. However, the Board does not have detailed written policies and procedures for reviewing related party transactions. Rather, all facts and circumstances surrounding each related party transaction may be considered.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 w:name="a_020"/>
      <w:bookmarkEnd w:id="75"/>
      <w:r>
        <w:rPr>
          <w:rFonts w:ascii="Times New Roman;Times;Serif" w:hAnsi="Times New Roman;Times;Serif"/>
          <w:b/>
          <w:i w:val="false"/>
          <w:caps w:val="false"/>
          <w:smallCaps w:val="false"/>
          <w:sz w:val="20"/>
        </w:rPr>
        <w:t>DELINQUENT SECTION 16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Securities Exchange Act of 1934 requires all Company executive officers, directors and persons owning more than 10% of any registered class of our capital stock to file reports of ownership and changes in ownership with the SEC. Based solely on the reports received by us and on written representations from our directors and executive officers, we believe that all such persons timely filed such reports during the last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 w:name="a_021"/>
      <w:bookmarkEnd w:id="76"/>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Proposals Included in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intends to present a proposal at the Company’s 2027 Annual Meeting and that shareholder desires to have such proposal included in the Company’s proxy materials relating to the Company’s 2027 Annual Meeting, then notice must be received by the Company at its principal executive offices no later than December 4 2026, which is 120 calendar days prior to April 3, 2027, the anniversary of the release date of this proxy statement relating to the 2026 Annual Meeting. Upon timely receipt of any such proposal, the Company will determine whether to include such proposal in the proxy statement and proxy in accordance with applicable regulations governing the 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Proposals Not Included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any shareholder seeking to bring business before an annual meeting of shareholders, or to nominate candidates for election as directors at an annual meeting of shareholders, must provide timely notice in writing. To be timely, a shareholder’s notice must be delivered to, or mailed and received at, our principal executive offices not more than 120 days nor less than 90 days prior to the anniversary date of the immediately preceding annual meeting of shareholders, i.e., not earlier than January 14, 2027, and not later than February 13, 2027, for the Company’s 2027 Annual Meeting. However, if the annual meeting is called for a date that is not within 30 days before or after such anniversary date, then to be timely, the notice by the shareholder must be received not later than the close of business on the 10th day following the day that the notice of the date of the annual meeting was mailed to shareholders or made public, whichever first occurs. Our restated bylaws specify requirements as to the form and content of a shareholder’s notice. These provisions may preclude shareholders from bringing matters before an annual meeting of shareholders or from making nominations for directors at an annual meeting of shareholders.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wishing to submit a candidate for election to our Board of Directors should follow the procedures outlined in “Director Nomination Process.” For all other proposals, as to each matter of business proposed, the shareholder should send the following information to the Corporate Secretary, Stereotaxis, Inc., 710 North Tucker Boulevard, Suite 110, St. Louis, Missouri 63101: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brief description of the business desired to be brought before the meeting and the reasons for conducting such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text of the business (including the text of any resolutions proposed and the language of any proposed amendment to our charter documents);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as they appear in our shareholder records, of the shareholder(s) proposing such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and number of shares of the stock which are beneficially owned by the proposing shareholder(s);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interest of the proposing shareholder(s) in such business;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statement as to whether either the proposing shareholder(s) intend(s) to deliver a proxy statement and form of proxy to holders of, in the case of the proposal, at least the percentage of the Company’s voting shares required under applicable law to carry the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more complete description of this process is set forth in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HOUSEHOLDING OF PROXIES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such as brokers to satisfy delivery requirements for annual reports, proxy statements and Notices of Internet Availability of Proxy Materials, with respect to two or more shareholders sharing the same address by delivering a single annual report and/or proxy statement and/or Notices of Internet Availability of Proxy Materials addressed to those shareholders. This process is commonly referred to as “householding.” The Company and some brokers household annual reports, proxy materials, and Notices of Internet Availability of Proxy Materials, delivering a single annual report and/or proxy statement and/or Notice of Internet Availability of Proxy Materials to multiple shareholders sharing an address unless contrary instructions have been received from the affected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you have received notice from your broker or the Company that your broker or we will be householding materials to your address, householding will continue until you are notified otherwise or until you request otherwise. If, at any time, you no longer wish to participate in householding and would prefer to receive a separate annual report and/or proxy statement and/or Notice of Internet Availability of Proxy Materials, in the future, please notify your broker if your shares are held in a brokerage account or us if you hold registered shares. If, at any time, you and another shareholder sharing the same address wish to participate in householding and prefer to receive a single copy of our annual report and/or proxy statement and/or Notice of Internet Availability of Proxy Materials, please notify your broker if your shares are held in a brokerage account or us if you hold registered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to receive at any time a separate copy of our proxy materials, our Annual Report, or Notice of Internet Availability of Proxy Materials, or notify us that you do or do not wish to participate in householding by sending a written request to our Corporate Secretary at 710 North Tucker Boulevard, Suite 110, St. Louis, Missouri 63101, or by telephoning 314-678-6100. We will deliver such materials to you promptly upon such request.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matters referenced in this proxy statement, the Board knows of no additional matter that will be presented at the meeting. However, if any other matters, including a shareholder proposal excluded from this proxy statement and pursuant to the rules of the SEC, properly come before the meeting or any of its adjournments, the person or persons voting the proxies will vote in accordance with their best judgment on such matters. Should any nominee for director be unable to serve or for good cause will not serve at the time of the meeting or any adjournments thereof, the persons named in the proxy will vote for the election of such other person for such directorship as the Board may recommend, unless, prior to the meeting, the Board has eliminated that directorship by reducing the size of the Board. The Board is not aware that any nominee herein will be unable to serve or for good cause will not serve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bear the expense of preparing, printing, and mailing this proxy material, as well as the cost of any required solicitation. Directors, officers, or employees of the Company may solicit proxies on behalf of the Company. In addition, the Company will reimburse banks, brokerage firms and other custodians, nominees and fiduciaries for reasonable expenses incurred in forwarding proxy materials to beneficial owners of the Company’s stock and obtaining their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vote promptly. You may revoke your proxy at any time before it is voted; and if you attend the meeting, as we hope you will, you may vote your shares in person, if you held your shares directly as a registered holder. In addition, we will furnish, without charge, copies of exhibits to our Annual Report on Form 10-K for the year ended December 31, 2025, as filed with the Commission, upon the written request of any person who is a shareholder as of the Record Date, upon payment of a reasonable fee which will not exceed our reasonable expenses in connection therewith. Requests for such materials should be directed to Stereotaxis, Inc., 710 North Tucker Boulevard, Suite 110, St. Louis, Missouri 63101, Attention: Corporate Secretary. Such information may also be obtained free of charge by accessing the Commission’s web 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 2026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1706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117062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1706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117062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16789</Words>
  <Characters>90575</Characters>
  <CharactersWithSpaces>108117</CharactersWithSpaces>
  <Paragraphs>2715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