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70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PURSUANT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C_edei--DocumentPeriodEndDate_c202"/>
      <w:bookmarkEnd w:id="3"/>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STEREOTAXIS, INC.</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center"/>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707"/>
            <w:bookmarkEnd w:id="6"/>
            <w:r>
              <w:rPr>
                <w:rFonts w:ascii="Times New Roman;Times;Serif" w:hAnsi="Times New Roman;Times;Serif"/>
                <w:b/>
                <w:i w:val="false"/>
                <w:caps w:val="false"/>
                <w:smallCaps w:val="false"/>
                <w:sz w:val="20"/>
              </w:rPr>
              <w:t>001-36159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94-3120386</w:t>
            </w:r>
          </w:p>
        </w:tc>
      </w:tr>
      <w:tr>
        <w:trPr/>
        <w:tc>
          <w:tcPr>
            <w:tcW w:w="22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6010" w:type="dxa"/>
        <w:jc w:val="left"/>
        <w:tblInd w:w="0" w:type="dxa"/>
        <w:tblLayout w:type="fixed"/>
        <w:tblCellMar>
          <w:top w:w="0" w:type="dxa"/>
          <w:left w:w="0" w:type="dxa"/>
          <w:bottom w:w="28" w:type="dxa"/>
          <w:right w:w="0" w:type="dxa"/>
        </w:tblCellMar>
      </w:tblPr>
      <w:tblGrid>
        <w:gridCol w:w="5030"/>
        <w:gridCol w:w="60"/>
        <w:gridCol w:w="920"/>
      </w:tblGrid>
      <w:tr>
        <w:trPr/>
        <w:tc>
          <w:tcPr>
            <w:tcW w:w="50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710 North Tucker Boulevard, </w:t>
            </w:r>
            <w:bookmarkStart w:id="9" w:name="xdx_908_edei--EntityAddressAddressLine2_"/>
            <w:bookmarkEnd w:id="9"/>
            <w:r>
              <w:rPr>
                <w:rFonts w:ascii="Times New Roman;Times;Serif" w:hAnsi="Times New Roman;Times;Serif"/>
                <w:b/>
                <w:i w:val="false"/>
                <w:caps w:val="false"/>
                <w:smallCaps w:val="false"/>
                <w:sz w:val="20"/>
              </w:rPr>
              <w:t xml:space="preserve">Suite 110, </w:t>
            </w:r>
            <w:bookmarkStart w:id="10" w:name="xdx_90D_edei--EntityAddressCityOrTown_c2"/>
            <w:bookmarkEnd w:id="10"/>
            <w:r>
              <w:rPr>
                <w:rFonts w:ascii="Times New Roman;Times;Serif" w:hAnsi="Times New Roman;Times;Serif"/>
                <w:b/>
                <w:i w:val="false"/>
                <w:caps w:val="false"/>
                <w:smallCaps w:val="false"/>
                <w:sz w:val="20"/>
              </w:rPr>
              <w:t xml:space="preserve">St. Louis, </w:t>
            </w:r>
            <w:bookmarkStart w:id="11" w:name="xdx_901_edei--EntityAddressStateOrProvin"/>
            <w:bookmarkEnd w:id="11"/>
            <w:r>
              <w:rPr>
                <w:rFonts w:ascii="Times New Roman;Times;Serif" w:hAnsi="Times New Roman;Times;Serif"/>
                <w:b/>
                <w:i w:val="false"/>
                <w:caps w:val="false"/>
                <w:smallCaps w:val="false"/>
                <w:sz w:val="20"/>
              </w:rPr>
              <w:t>Missouri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C_edei--EntityAddressPostalZipCode"/>
            <w:bookmarkEnd w:id="12"/>
            <w:r>
              <w:rPr>
                <w:rFonts w:ascii="Times New Roman;Times;Serif" w:hAnsi="Times New Roman;Times;Serif"/>
                <w:b/>
                <w:i w:val="false"/>
                <w:caps w:val="false"/>
                <w:smallCaps w:val="false"/>
                <w:sz w:val="20"/>
              </w:rPr>
              <w:t>63101</w:t>
            </w:r>
          </w:p>
        </w:tc>
      </w:tr>
      <w:tr>
        <w:trPr/>
        <w:tc>
          <w:tcPr>
            <w:tcW w:w="5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C_edei--CityAreaCode_c20260707__20"/>
      <w:bookmarkEnd w:id="13"/>
      <w:r>
        <w:rPr>
          <w:rFonts w:ascii="Times New Roman;Times;Serif" w:hAnsi="Times New Roman;Times;Serif"/>
          <w:b/>
          <w:i w:val="false"/>
          <w:caps w:val="false"/>
          <w:smallCaps w:val="false"/>
          <w:sz w:val="20"/>
        </w:rPr>
        <w:t xml:space="preserve">(314) </w:t>
      </w:r>
      <w:bookmarkStart w:id="14" w:name="xdx_90D_edei--LocalPhoneNumber_c20260707"/>
      <w:bookmarkEnd w:id="14"/>
      <w:r>
        <w:rPr>
          <w:rFonts w:ascii="Times New Roman;Times;Serif" w:hAnsi="Times New Roman;Times;Serif"/>
          <w:b/>
          <w:i w:val="false"/>
          <w:caps w:val="false"/>
          <w:smallCaps w:val="false"/>
          <w:sz w:val="20"/>
        </w:rPr>
        <w:t>678-6100</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5" w:name="xdx_901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C_edei--SolicitingMaterial_c202607"/>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D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8" w:name="xdx_90D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F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Security12bTitle_c20260707"/>
            <w:bookmarkEnd w:id="20"/>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TradingSymbol_c20260707__2"/>
            <w:bookmarkEnd w:id="21"/>
            <w:r>
              <w:rPr>
                <w:rFonts w:ascii="Times New Roman;Times;Serif" w:hAnsi="Times New Roman;Times;Serif"/>
                <w:b w:val="false"/>
                <w:i w:val="false"/>
                <w:caps w:val="false"/>
                <w:smallCaps w:val="false"/>
                <w:sz w:val="20"/>
              </w:rPr>
              <w:t>STXS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D_edei--SecurityExchangeName_c2026"/>
            <w:bookmarkEnd w:id="22"/>
            <w:r>
              <w:rPr>
                <w:rFonts w:ascii="Times New Roman;Times;Serif" w:hAnsi="Times New Roman;Times;Serif"/>
                <w:b w:val="false"/>
                <w:i w:val="false"/>
                <w:caps w:val="false"/>
                <w:smallCaps w:val="false"/>
                <w:sz w:val="20"/>
              </w:rPr>
              <w:t>NYSE American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7, 2026, Stereotaxis, Inc. (the “Company”) completed its previously announced acquisition (the “Acquisition”) of shares and other securities collectively representing 100% of the share capital and voting power of Robocath,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xml:space="preserve"> (“Robocath”), pursuant to that certain Share Sale Agreement (the “Share Sale Agreement”), dated as of April 14, 2026, by and among the Company, Robocath, the shareholders of Robocath and an individual serving as manager. In connection with the Acquisition, the Company issued (i) 1,469,485 shares of its common stock, par value $0.001 per share (the “Common Stock”) and (ii) “pre-funded” warrants (the “Purchaser Warrants”) to purchase 4,575,143 shares of Common Stock to the securityholders of Robocath, in accordance with the terms and subject to the conditions set forth in the Share Sale Agreement. The Purchaser Warrants were issued to a Robocath securityholder that elected, as permitted by the Share Sale Agreement, to receive Purchaser Warrants in the Acquisition in lieu of shares of Common Stock it would have otherwise received under the Share Sale Agreement. Each Purchaser Warrant issued at closing entitles the holder thereof to acquire one share of Stereotaxis Common Stock at an exercise price equal to the par value of such Common Stock and is exercisable at any time from the date of issuance until July 7, 2031. In addition, at the closing of the Acquisition, the Company also issued 225,000 shares of Common Stock to Robocath’s financial advisor as partial payment of a success fee for acquisition advisory services rendered to Robocath and its securityholders in connection with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Share Sale Agreement, the Company may also issue additional shares of Common Stock to the Robocath securityholders and Robocath’s financial advisor (or Purchaser Warrants, subject to the continuing election of the eligible Robocath securityholder) if certain previously disclosed earnout performance targets are met during respective earnout periods, in an amount not to exceed $25.0 million in the aggregate. The exact number of shares of Common Stock and/or Purchaser Warrants, if any, to be issued will depend upon whether earnout targets are achieved, the market value of the Common Stock at the time of issuance, and working capital and other adjustments to the Purchase Price set forth in the Share Sale Agreement, including offsets, if any, for indemnification obligations, and whether the earnout consideration will be paid in cash or Common Stock, at the Company’s election. In no event will the Company issue a number of shares of Common Stock to the Robocath securityholders or Robocath’s financial advisor in connection with Acquisition in excess of 19.9% of the number of shares of Common Stock outstanding before the issuance of shares in the Acquisition without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the Company’s Common Stock and Purchaser Warrants in connection with the Acquisition were exempt (and in the case of earnout consideration, will be exempt) from the registration requirements of the Securities Act of 1933, as amended, pursuant to Section 4(a)(2) thereof, by Rule 506(b) of Regulation D promulgated thereunder and/or Regulation S promulgated thereunder. The Company is relying, in part, upon representations from the recipients of the Company’s securities in the Share Sale Agreement that each such recipient was an accredited investor (as defined in Regulation D under the Securities Act) and/or Non-U.S. Person (as defined in Regulation 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7.01. Regulation FD Disclosure.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the Company issued a press release announcing the completion of the acquisition of Robocath. The press release is attached as Exhibit 99.1 to this Current Report on Form 8-K and incorporated into this Item 7.01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report furnished pursuant to this Item 7.01, including Exhibit 99.1, shall not be deemed to be “filed” for purposes of Section 18 of the Exchange Act or otherwise subject to the liabilities of that section, unless the Company incorporates it by reference into a filing under the Securities Act of 1933, as amended,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the Company completed its acquisition of Robocath pursuant to the Share Sale Agreement for approximately $20 million in cash and Common Stock.</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Company is required to file a resale registration statement relating to the stock consideration following the closing of the Acquisition, which will cover the resale of the upfront stock consideration issued and the Company’s good faith estimate of the number of shares that may reasonably be issuable pursuant to the regulatory and commercial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395"/>
        <w:gridCol w:w="73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7340"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July 9, 2026</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Other Matters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the Company’s web site address are included in this Form 8-K and in the press release only as inactive textual references, and the Company does not intend them to be active links to its web site. Information contained on the Company’s web site does not constitute part of this Form 8-K or the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Current Report on Form 8-K (including the press release furnished herewith) includes statements that may constitute “forward-looking” statements, usually containing the words “believe”, “estimate”, “project”, “expect” or similar expressions. These forward-looking statements include without limitation statements regarding the recently completed acquisition of Robocath, the anticipated financial performance of Stereotaxis and Robocath related thereto, including the anticipated benefits expected from the acquisition, the potential strategic implications as a result of the acquisition, and the potential for achievement of the regulatory and commercial milestones that would trigger contingent payments in the transaction. Forward-looking statements inherently involve risks and uncertainties that could cause actual results to differ materially. Factors that would cause or contribute to such differences include, but are not limited to, uncertainties involving the following: the ability of Stereotaxis to successfully integrate Robocath’s operations, and continue the commercialization, development and sales of Robocath’s products and services, and disruption of Robocath’s or Stereotaxis’s current plans and operations as a result thereof; the ability of Robocath or Stereotaxis to retain and hire key personnel; competitive responses to the proposed transaction; unexpected costs, charges or expenses resulting from the proposed transaction; the ability of Stereotaxis to implement its plans, forecasts and other expectations with respect to Robocath’s business following the completion of the transaction and realize additional opportunities for growth and innovation; the ability of Stereotaxis to realize the anticipated benefits from the transaction in the anticipated amounts or within the anticipated timeframes or at all; the ability to maintain relationships with Stereotaxis’s and Robocath’s respective employees, customers, other business partners and governmental authorities; and the other risks discussed in the Company’s periodic and other filings with the Securities and Exchange Commission. By making these forward-looking statements, the Company undertakes no obligation to update these statements for revisions or changes after the date of this release. Additional information will also be set forth in future filings that we make with the SEC from time to time. All forward-looking statements in this Current Report and the press release are based on information available to us as of the date hereof, and we do not assume any obligation to update the forward-looking statements provided to reflect events that occur or circumstances that exist after the date on which they were made. There can be no assurance that the Company will recognize revenue related to its purchase orders and other commitments because some of these purchase orders and other commitments are subject to contingencies that are outside of the Company’s control and may be revised, modified, delayed, or canceled.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3960" w:type="dxa"/>
        <w:jc w:val="left"/>
        <w:tblInd w:w="0" w:type="dxa"/>
        <w:tblLayout w:type="fixed"/>
        <w:tblCellMar>
          <w:top w:w="0" w:type="dxa"/>
          <w:left w:w="0" w:type="dxa"/>
          <w:bottom w:w="0" w:type="dxa"/>
          <w:right w:w="0" w:type="dxa"/>
        </w:tblCellMar>
      </w:tblPr>
      <w:tblGrid>
        <w:gridCol w:w="1520"/>
        <w:gridCol w:w="545"/>
        <w:gridCol w:w="1895"/>
      </w:tblGrid>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9,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Kimberly Peery</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 Peery</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drawing>
          <wp:inline distT="0" distB="0" distL="0" distR="0">
            <wp:extent cx="264795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47950" cy="866775"/>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Completes Acquisition of Robocath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 Louis, USA &amp; Rouen, France, July 9, 2026 (Globe Newswire) – </w:t>
      </w:r>
      <w:r>
        <w:rPr>
          <w:rFonts w:ascii="Times New Roman;Times;Serif" w:hAnsi="Times New Roman;Times;Serif"/>
          <w:b w:val="false"/>
          <w:i w:val="false"/>
          <w:caps w:val="false"/>
          <w:smallCaps w:val="false"/>
          <w:sz w:val="20"/>
          <w:u w:val="single"/>
        </w:rPr>
        <w:t>Stereotaxis</w:t>
      </w:r>
      <w:r>
        <w:rPr>
          <w:rFonts w:ascii="Times New Roman;Times;Serif" w:hAnsi="Times New Roman;Times;Serif"/>
          <w:b w:val="false"/>
          <w:i w:val="false"/>
          <w:caps w:val="false"/>
          <w:smallCaps w:val="false"/>
          <w:sz w:val="20"/>
        </w:rPr>
        <w:t xml:space="preserve"> (NYSE: STXS), a pioneer and global leader in surgical robotics for minimally invasive endovascular intervention, today announced that it has completed its previously announced acquisition of Robocath, an innovator of robotic technologies for interventional cardiology and neurointerventions.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Robocath will now be fully integrated into Stereotaxis, combining complementary technologies and expertise to accelerate the development of next-generation robotic solutions for electrophysiology, interventional cardiology, and neurointerventions. The combined platform strengthens Stereotaxis’s position as the leader in robotic technologies across the full spectrum of endovascular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We’re very excited to join Stereotaxis,” said Philippe Bencteux, Robocath Founder and CEO. “Combining the strengths, expertise, and technologies of two pioneers in endovascular robotics, we now have the opportunity to accelerate innovation, expand our global reach, and bring robotic solutions to many more physicians and patients around the world.”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addition of Robocath’s technology and team to Stereotaxis accelerates our strategy, enhances our technological leadership, provides attractive commercial synergies in an expanded addressable market, and supports new strategic opportunities,” said David Fischel, Stereotaxis Chairman and CEO.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Stereotaxis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Stereotaxis (NYSE: STXS) is a pioneer and global leader in innovative surgical robotics for minimally invasive endovascular intervention. Its mission is the discovery, development and delivery of robotic systems, instruments, and information solutions for the interventional laboratory. These innovations help physicians provide unsurpassed patient care with robotic precision and safety, expand access to minimally invasive therapy, and enhance the productivity, connectivity, and intelligence in the operating room. Stereotaxis technology has been used to treat over 150,000 patients across the United States, Europe, Asia, and elsewhere. For more information, please visit </w:t>
      </w:r>
      <w:r>
        <w:rPr>
          <w:rFonts w:ascii="Times New Roman;Times;Serif" w:hAnsi="Times New Roman;Times;Serif"/>
          <w:b w:val="false"/>
          <w:i w:val="false"/>
          <w:caps w:val="false"/>
          <w:smallCaps w:val="false"/>
          <w:sz w:val="20"/>
          <w:u w:val="single"/>
        </w:rPr>
        <w:t>www.stereotaxis.com</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Robocath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2009 by Philippe Bencteux, MD, Robocath designs, develops and markets smart robotic solutions to treat cardiovascular and neurovascular diseases. Robocath robotic solutions integrate a unique bionic technology that optimizes the safety of robotic-assisted coronary angioplasty. Robocath’s robotic solutions are designed to operate with precision and perform accurate movements, creating better interventional conditions. Robocath has obtained CE and NMPA certifications for its first robotic solution. Several multicenter clinical studies have been conducted, and a meta-analysis has demonstrated R-One’s safety and efficacy as it achieved more than 98% technical procedure success with no major adverse cardiovascular events. Currently R-One is used in Europe and China. Robocath, based in Rouen (France), a world leader in vascular robotics, continues to push the boundaries of interventional cardiology technology by developing smart digital solutions. Its ambition is to guarantee equal access to treatment for vascular emergencies through the development of remote interventions, offering the best care for all.</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Note Regarding 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press release includes statements that may constitute “forward-looking” statements, usually containing the words “believe”, “estimate”, “project”, “expect” or similar expressions. These forward-looking statements include without limitation statements regarding the recently completed acquisition of Robocath, the anticipated financial performance of Stereotaxis and Robocath related thereto, including the anticipated benefits expected from the acquisition, the potential strategic implications as a result of the acquisition, and the potential for achievement of the regulatory and commercial milestones that would trigger contingent payments in the transaction. Forward-looking statements inherently involve risks and uncertainties that could cause actual results to differ materially. Factors that would cause or contribute to such differences include, but are not limited to, uncertainties involving the following: the ability of Stereotaxis to successfully integrate Robocath’s operations, and continue the commercialization, development and sales of Robocath’s products and services, and disruption of Robocath’s or Stereotaxis’s current plans and operations as a result thereof; the ability of Robocath or Stereotaxis to retain and hire key personnel; competitive responses to the proposed transaction; unexpected costs, charges or expenses resulting from the proposed transaction; the ability of Stereotaxis to implement its plans, forecasts and other expectations with respect to Robocath’s business following the completion of the transaction and realize additional opportunities for growth and innovation; the ability of Stereotaxis to realize the anticipated benefits from the transaction in the anticipated amounts or within the anticipated timeframes or at all; the ability to maintain relationships with Stereotaxis’s and Robocath’s respective employees, customers, other business partners and governmental authorities; and the other risks discussed in the Company’s periodic and other filings with the Securities and Exchange Commission.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 making these forward-looking statements, the Company undertakes no obligation to update these statements for revisions or changes after the date of this release. Additional information will also be set forth in future filings that we make with the SEC from time to time. All forward-looking statements in this press release are based on information available to us as of the date hereof, and we do not assume any obligation to update the forward-looking statements provided to reflect events that occur or circumstances that exist after the date on which they were made. There can be no assurance that the Company will recognize revenue related to its purchase orders and other commitments because some of these purchase orders and other commitments are subject to contingencies that are outside of the Company’s control and may be revised, modified, delayed, or canceled.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Contacts: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 Fischel</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 R. Peery</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314-678-6100</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Investors@Stereotaxis.com</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2506</Words>
  <Characters>14755</Characters>
  <CharactersWithSpaces>17276</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