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Stereotaxis,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08/12/2026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Daniel Louis Kaufman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5,956,714.00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5,956,714.00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5,956,714.00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 Based on 100,202,178 shares of Common Stock outstanding as of July 31, 2026, as disclosed in the Issuer's Quarterly Report on Form 10-Q for the quarterly period ended June 30, 2026, filed with the SEC on August 12,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46"/>
        <w:gridCol w:w="9004"/>
        <w:gridCol w:w="155"/>
      </w:tblGrid>
      <w:tr>
        <w:trPr/>
        <w:tc>
          <w:tcPr>
            <w:tcW w:w="1046" w:type="dxa"/>
            <w:tcBorders/>
            <w:vAlign w:val="center"/>
          </w:tcPr>
          <w:p>
            <w:pPr>
              <w:pStyle w:val="TableContents"/>
              <w:bidi w:val="0"/>
              <w:spacing w:before="0" w:after="283"/>
              <w:jc w:val="left"/>
              <w:rPr/>
            </w:pPr>
            <w:r>
              <w:rPr/>
              <w:t>Item 1.</w:t>
            </w:r>
          </w:p>
        </w:tc>
        <w:tc>
          <w:tcPr>
            <w:tcW w:w="900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(a)</w:t>
            </w:r>
          </w:p>
        </w:tc>
        <w:tc>
          <w:tcPr>
            <w:tcW w:w="9004" w:type="dxa"/>
            <w:tcBorders/>
            <w:vAlign w:val="center"/>
          </w:tcPr>
          <w:p>
            <w:pPr>
              <w:pStyle w:val="TableContents"/>
              <w:bidi w:val="0"/>
              <w:jc w:val="left"/>
              <w:rPr/>
            </w:pPr>
            <w:r>
              <w:rPr/>
              <w:t xml:space="preserve">Name of issuer: </w:t>
            </w:r>
          </w:p>
          <w:p>
            <w:pPr>
              <w:pStyle w:val="TableContents"/>
              <w:bidi w:val="0"/>
              <w:spacing w:before="0" w:after="0"/>
              <w:jc w:val="left"/>
              <w:rPr/>
            </w:pPr>
            <w:r>
              <w:rPr/>
              <w:t>Stereotaxis, Inc.</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(b)</w:t>
            </w:r>
          </w:p>
        </w:tc>
        <w:tc>
          <w:tcPr>
            <w:tcW w:w="900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710 North Tucker Boulevard, Suite 110, St. Louis, MO, 63101</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Item 2.</w:t>
            </w:r>
          </w:p>
        </w:tc>
        <w:tc>
          <w:tcPr>
            <w:tcW w:w="900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(a)</w:t>
            </w:r>
          </w:p>
        </w:tc>
        <w:tc>
          <w:tcPr>
            <w:tcW w:w="9004" w:type="dxa"/>
            <w:tcBorders/>
            <w:vAlign w:val="center"/>
          </w:tcPr>
          <w:p>
            <w:pPr>
              <w:pStyle w:val="TableContents"/>
              <w:bidi w:val="0"/>
              <w:jc w:val="left"/>
              <w:rPr/>
            </w:pPr>
            <w:r>
              <w:rPr/>
              <w:t xml:space="preserve">Name of person filing: </w:t>
            </w:r>
          </w:p>
          <w:p>
            <w:pPr>
              <w:pStyle w:val="TableContents"/>
              <w:bidi w:val="0"/>
              <w:spacing w:before="0" w:after="0"/>
              <w:jc w:val="left"/>
              <w:rPr/>
            </w:pPr>
            <w:r>
              <w:rPr/>
              <w:t>Daniel Kaufman</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(b)</w:t>
            </w:r>
          </w:p>
        </w:tc>
        <w:tc>
          <w:tcPr>
            <w:tcW w:w="900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2158 Park Boulevard, San Juan, Puerto Rico, 00913</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(c)</w:t>
            </w:r>
          </w:p>
        </w:tc>
        <w:tc>
          <w:tcPr>
            <w:tcW w:w="9004" w:type="dxa"/>
            <w:tcBorders/>
            <w:vAlign w:val="center"/>
          </w:tcPr>
          <w:p>
            <w:pPr>
              <w:pStyle w:val="TableContents"/>
              <w:bidi w:val="0"/>
              <w:jc w:val="left"/>
              <w:rPr/>
            </w:pPr>
            <w:r>
              <w:rPr/>
              <w:t xml:space="preserve">Citizenship: </w:t>
            </w:r>
          </w:p>
          <w:p>
            <w:pPr>
              <w:pStyle w:val="TableContents"/>
              <w:bidi w:val="0"/>
              <w:spacing w:before="0" w:after="0"/>
              <w:jc w:val="left"/>
              <w:rPr/>
            </w:pPr>
            <w:r>
              <w:rPr/>
              <w:t>United States</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(d)</w:t>
            </w:r>
          </w:p>
        </w:tc>
        <w:tc>
          <w:tcPr>
            <w:tcW w:w="900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(e)</w:t>
            </w:r>
          </w:p>
        </w:tc>
        <w:tc>
          <w:tcPr>
            <w:tcW w:w="900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Item 3.</w:t>
            </w:r>
          </w:p>
        </w:tc>
        <w:tc>
          <w:tcPr>
            <w:tcW w:w="900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(a)</w:t>
            </w:r>
          </w:p>
        </w:tc>
        <w:tc>
          <w:tcPr>
            <w:tcW w:w="9004"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(b)</w:t>
            </w:r>
          </w:p>
        </w:tc>
        <w:tc>
          <w:tcPr>
            <w:tcW w:w="9004"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(c)</w:t>
            </w:r>
          </w:p>
        </w:tc>
        <w:tc>
          <w:tcPr>
            <w:tcW w:w="9004"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(d)</w:t>
            </w:r>
          </w:p>
        </w:tc>
        <w:tc>
          <w:tcPr>
            <w:tcW w:w="900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(e)</w:t>
            </w:r>
          </w:p>
        </w:tc>
        <w:tc>
          <w:tcPr>
            <w:tcW w:w="900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(f)</w:t>
            </w:r>
          </w:p>
        </w:tc>
        <w:tc>
          <w:tcPr>
            <w:tcW w:w="900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(g)</w:t>
            </w:r>
          </w:p>
        </w:tc>
        <w:tc>
          <w:tcPr>
            <w:tcW w:w="900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(h)</w:t>
            </w:r>
          </w:p>
        </w:tc>
        <w:tc>
          <w:tcPr>
            <w:tcW w:w="900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(i)</w:t>
            </w:r>
          </w:p>
        </w:tc>
        <w:tc>
          <w:tcPr>
            <w:tcW w:w="900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(j)</w:t>
            </w:r>
          </w:p>
        </w:tc>
        <w:tc>
          <w:tcPr>
            <w:tcW w:w="900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(k)</w:t>
            </w:r>
          </w:p>
        </w:tc>
        <w:tc>
          <w:tcPr>
            <w:tcW w:w="900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 </w:t>
            </w:r>
          </w:p>
        </w:tc>
        <w:tc>
          <w:tcPr>
            <w:tcW w:w="9159" w:type="dxa"/>
            <w:gridSpan w:val="2"/>
            <w:tcBorders/>
            <w:vAlign w:val="center"/>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Item 4.</w:t>
            </w:r>
          </w:p>
        </w:tc>
        <w:tc>
          <w:tcPr>
            <w:tcW w:w="900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(a)</w:t>
            </w:r>
          </w:p>
        </w:tc>
        <w:tc>
          <w:tcPr>
            <w:tcW w:w="900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5,956,714 shares of Common Stock.</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(b)</w:t>
            </w:r>
          </w:p>
        </w:tc>
        <w:tc>
          <w:tcPr>
            <w:tcW w:w="900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5.9%, based on 100,202,178 shares of Common Stock outstanding as of July 31, 2026, as disclosed in the Issuer's Quarterly Report on Form 10-Q for the quarterly period ended June 30, 2026, filed with the SEC on August 12, 2026.  % </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(c)</w:t>
            </w:r>
          </w:p>
        </w:tc>
        <w:tc>
          <w:tcPr>
            <w:tcW w:w="900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 </w:t>
            </w:r>
          </w:p>
        </w:tc>
        <w:tc>
          <w:tcPr>
            <w:tcW w:w="900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5,956,714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 </w:t>
            </w:r>
          </w:p>
        </w:tc>
        <w:tc>
          <w:tcPr>
            <w:tcW w:w="900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 </w:t>
            </w:r>
          </w:p>
        </w:tc>
        <w:tc>
          <w:tcPr>
            <w:tcW w:w="900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5,956,714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 </w:t>
            </w:r>
          </w:p>
        </w:tc>
        <w:tc>
          <w:tcPr>
            <w:tcW w:w="900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Item 5.</w:t>
            </w:r>
          </w:p>
        </w:tc>
        <w:tc>
          <w:tcPr>
            <w:tcW w:w="900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 </w:t>
            </w:r>
          </w:p>
        </w:tc>
        <w:tc>
          <w:tcPr>
            <w:tcW w:w="900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Item 6.</w:t>
            </w:r>
          </w:p>
        </w:tc>
        <w:tc>
          <w:tcPr>
            <w:tcW w:w="900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 </w:t>
            </w:r>
          </w:p>
        </w:tc>
        <w:tc>
          <w:tcPr>
            <w:tcW w:w="900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Item 7.</w:t>
            </w:r>
          </w:p>
        </w:tc>
        <w:tc>
          <w:tcPr>
            <w:tcW w:w="900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 </w:t>
            </w:r>
          </w:p>
        </w:tc>
        <w:tc>
          <w:tcPr>
            <w:tcW w:w="900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Item 8.</w:t>
            </w:r>
          </w:p>
        </w:tc>
        <w:tc>
          <w:tcPr>
            <w:tcW w:w="900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 </w:t>
            </w:r>
          </w:p>
        </w:tc>
        <w:tc>
          <w:tcPr>
            <w:tcW w:w="900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Item 9.</w:t>
            </w:r>
          </w:p>
        </w:tc>
        <w:tc>
          <w:tcPr>
            <w:tcW w:w="900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 </w:t>
            </w:r>
          </w:p>
        </w:tc>
        <w:tc>
          <w:tcPr>
            <w:tcW w:w="900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Daniel Louis Kaufman</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9"/>
        <w:gridCol w:w="4346"/>
      </w:tblGrid>
      <w:tr>
        <w:trPr/>
        <w:tc>
          <w:tcPr>
            <w:tcW w:w="58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Daniel Louis Kaufman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Daniel Louis Kaufman, Individual Investor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346" w:type="dxa"/>
            <w:tcBorders/>
            <w:vAlign w:val="center"/>
          </w:tcPr>
          <w:p>
            <w:pPr>
              <w:pStyle w:val="TableContents"/>
              <w:bidi w:val="0"/>
              <w:spacing w:before="0" w:after="283"/>
              <w:jc w:val="left"/>
              <w:rPr>
                <w:sz w:val="4"/>
                <w:szCs w:val="4"/>
              </w:rPr>
            </w:pPr>
            <w:r>
              <w:rPr>
                <w:sz w:val="4"/>
                <w:szCs w:val="4"/>
              </w:rPr>
            </w:r>
          </w:p>
        </w:tc>
      </w:tr>
    </w:tbl>
    <w:tbl>
      <w:tblPr>
        <w:tblW w:w="2266" w:type="dxa"/>
        <w:jc w:val="left"/>
        <w:tblInd w:w="0" w:type="dxa"/>
        <w:tblLayout w:type="fixed"/>
        <w:tblCellMar>
          <w:top w:w="28" w:type="dxa"/>
          <w:left w:w="28" w:type="dxa"/>
          <w:bottom w:w="28" w:type="dxa"/>
          <w:right w:w="28" w:type="dxa"/>
        </w:tblCellMar>
      </w:tblPr>
      <w:tblGrid>
        <w:gridCol w:w="2266"/>
      </w:tblGrid>
      <w:tr>
        <w:trPr/>
        <w:tc>
          <w:tcPr>
            <w:tcW w:w="2266" w:type="dxa"/>
            <w:tcBorders/>
            <w:vAlign w:val="center"/>
          </w:tcPr>
          <w:p>
            <w:pPr>
              <w:pStyle w:val="TableContents"/>
              <w:bidi w:val="0"/>
              <w:spacing w:before="0" w:after="283"/>
              <w:jc w:val="center"/>
              <w:rPr>
                <w:b/>
              </w:rPr>
            </w:pPr>
            <w:r>
              <w:rPr>
                <w:b/>
              </w:rPr>
              <w:t xml:space="preserve">Exhibit Information </w:t>
            </w:r>
          </w:p>
        </w:tc>
      </w:tr>
      <w:tr>
        <w:trPr/>
        <w:tc>
          <w:tcPr>
            <w:tcW w:w="2266" w:type="dxa"/>
            <w:tcBorders/>
            <w:vAlign w:val="center"/>
          </w:tcPr>
          <w:p>
            <w:pPr>
              <w:pStyle w:val="TableContents"/>
              <w:bidi w:val="0"/>
              <w:spacing w:before="0" w:after="283"/>
              <w:jc w:val="left"/>
              <w:rPr/>
            </w:pPr>
            <w:r>
              <w:rPr/>
              <w:t>None</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809</Words>
  <Characters>4154</Characters>
  <CharactersWithSpaces>4953</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