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3" w:lineRule="exact"/>
        <w:rPr>
          <w:sz w:val="24"/>
          <w:szCs w:val="24"/>
          <w:color w:val="auto"/>
        </w:rPr>
      </w:pPr>
    </w:p>
    <w:p>
      <w:pPr>
        <w:ind w:left="660" w:right="1800" w:hanging="652"/>
        <w:spacing w:after="0" w:line="500"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740" w:right="339" w:bottom="0" w:gutter="0" w:footer="0" w:header="0"/>
        </w:sectPr>
      </w:pPr>
    </w:p>
    <w:p>
      <w:pPr>
        <w:spacing w:after="0" w:line="237"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3980" w:space="680"/>
            <w:col w:w="6580"/>
          </w:cols>
          <w:pgMar w:left="320" w:top="740" w:right="339" w:bottom="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001-36159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STEREOTAXIS,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ectPr>
          <w:pgSz w:w="11900" w:h="16838" w:orient="portrait"/>
          <w:cols w:equalWidth="0" w:num="1">
            <w:col w:w="11240"/>
          </w:cols>
          <w:pgMar w:left="320" w:top="740" w:right="339" w:bottom="0" w:gutter="0" w:footer="0" w:header="0"/>
          <w:type w:val="continuous"/>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94-3120386</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00" w:lineRule="exact"/>
        <w:rPr>
          <w:sz w:val="24"/>
          <w:szCs w:val="24"/>
          <w:color w:val="auto"/>
        </w:rPr>
      </w:pPr>
    </w:p>
    <w:p>
      <w:pPr>
        <w:sectPr>
          <w:pgSz w:w="11900" w:h="16838" w:orient="portrait"/>
          <w:cols w:equalWidth="0" w:num="2">
            <w:col w:w="6880" w:space="720"/>
            <w:col w:w="3640"/>
          </w:cols>
          <w:pgMar w:left="320" w:top="740" w:right="3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710 North Tucker Boulevard, Suite 110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MO 63101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678-6100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STXS</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“See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800" w:space="720"/>
            <w:col w:w="1920" w:space="720"/>
            <w:col w:w="2180" w:space="720"/>
            <w:col w:w="2180"/>
          </w:cols>
          <w:pgMar w:left="320" w:top="740" w:right="339" w:bottom="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40" w:right="339" w:bottom="0" w:gutter="0" w:footer="0" w:header="0"/>
          <w:type w:val="continuous"/>
        </w:sectPr>
      </w:pPr>
    </w:p>
    <w:p>
      <w:pPr>
        <w:spacing w:after="0" w:line="19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consolidated financial statements of the registrant included in the filing reflect the correction of an error to previously issued consolidated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the last business day of the registrant’s most recently completed second fiscal quarter (based on the closing sales prices on the NYSE American on June 30, 2025) was approximately $150.3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on February 28, 2026, was 97,248,936.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Proxy Statement for the registrant’s 2026 Annual Meeting of Shareholders are incorporated by reference in Part III, Items 10, 11, 12, 13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Stereotaxis, Inc. (“we” or the “Company”) is filing this Amendment No. 1 on Form 10-K/A (this “Amendment”) to its Annual Report on Form 10-K for the fiscal year ended December 31, 2025 (the “Original Form 10-K Filing”), which was originally filed with the U.S. Securities and Exchange Commission (the “SEC”) on March 12, 2026, to include the signature of the Company’s independent registered public accounting firm, Ernst &amp; Young LLP on their audit opinion and Consent (which signatures the Company had obtained as of the date of the Original Form 10-K Filing but which were inadvertently omitted from the filing), and to correct the exhibit number, which was inadvertently filed as Exhibit 22.1. The revised consent by Ernst &amp; Young LLP is filed hereto as Exhibit 23.1.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Rule 12b-15 under the Securities Exchange Act of 1934, as amended, new certifications of the Principal Executive Officer and Principal Financial Officer are being filed as exhibits to this Amendment.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expressly set forth herein, this Amendment does not reflect events occurring after the date of the Original Form 10-K Filing or modify or update any of the other disclosures contained therein in any way other than as required to reflect the amendments referred to above. Accordingly, this Amendment should be read in conjunction with the Original Form 10-K Filing and the Company’s other filings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640" w:type="dxa"/>
            <w:vAlign w:val="bottom"/>
          </w:tcPr>
          <w:p>
            <w:pPr>
              <w:spacing w:after="0"/>
              <w:rPr>
                <w:sz w:val="20"/>
                <w:szCs w:val="20"/>
                <w:color w:val="auto"/>
              </w:rPr>
            </w:pPr>
          </w:p>
        </w:tc>
      </w:tr>
      <w:tr>
        <w:trPr>
          <w:trHeight w:val="410"/>
        </w:trPr>
        <w:tc>
          <w:tcPr>
            <w:tcW w:w="10600" w:type="dxa"/>
            <w:vAlign w:val="bottom"/>
            <w:gridSpan w:val="2"/>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0" w:type="dxa"/>
            <w:vAlign w:val="bottom"/>
          </w:tcPr>
          <w:p>
            <w:pPr>
              <w:spacing w:after="0"/>
              <w:rPr>
                <w:sz w:val="24"/>
                <w:szCs w:val="24"/>
                <w:color w:val="auto"/>
              </w:rPr>
            </w:pPr>
          </w:p>
        </w:tc>
      </w:tr>
      <w:tr>
        <w:trPr>
          <w:trHeight w:val="238"/>
        </w:trPr>
        <w:tc>
          <w:tcPr>
            <w:tcW w:w="10600" w:type="dxa"/>
            <w:vAlign w:val="bottom"/>
            <w:gridSpan w:val="2"/>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640" w:type="dxa"/>
            <w:vAlign w:val="bottom"/>
          </w:tcPr>
          <w:p>
            <w:pPr>
              <w:spacing w:after="0"/>
              <w:rPr>
                <w:sz w:val="20"/>
                <w:szCs w:val="20"/>
                <w:color w:val="auto"/>
              </w:rPr>
            </w:pPr>
          </w:p>
        </w:tc>
      </w:tr>
      <w:tr>
        <w:trPr>
          <w:trHeight w:val="432"/>
        </w:trPr>
        <w:tc>
          <w:tcPr>
            <w:tcW w:w="5740" w:type="dxa"/>
            <w:vAlign w:val="bottom"/>
            <w:tcBorders>
              <w:bottom w:val="single" w:sz="8" w:color="CCEEFF"/>
            </w:tcBorders>
          </w:tcPr>
          <w:p>
            <w:pPr>
              <w:spacing w:after="0"/>
              <w:rPr>
                <w:sz w:val="24"/>
                <w:szCs w:val="24"/>
                <w:color w:val="auto"/>
              </w:rPr>
            </w:pPr>
          </w:p>
        </w:tc>
        <w:tc>
          <w:tcPr>
            <w:tcW w:w="48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89"/>
        </w:trPr>
        <w:tc>
          <w:tcPr>
            <w:tcW w:w="106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 xml:space="preserve">Report of Ernst &amp; Young LLP, Independent Registered Public Accounting Firm </w:t>
            </w:r>
            <w:r>
              <w:rPr>
                <w:rFonts w:ascii="Times New Roman" w:cs="Times New Roman" w:eastAsia="Times New Roman" w:hAnsi="Times New Roman"/>
                <w:sz w:val="15"/>
                <w:szCs w:val="15"/>
                <w:color w:val="000000"/>
              </w:rPr>
              <w:t>(PCAOB ID: 42)</w:t>
            </w:r>
          </w:p>
        </w:tc>
        <w:tc>
          <w:tcPr>
            <w:tcW w:w="640" w:type="dxa"/>
            <w:vAlign w:val="bottom"/>
            <w:shd w:val="clear" w:color="auto" w:fill="CCEEFF"/>
          </w:tcPr>
          <w:p>
            <w:pPr>
              <w:jc w:val="right"/>
              <w:ind w:right="196"/>
              <w:spacing w:after="0" w:line="142" w:lineRule="exact"/>
              <w:rPr>
                <w:sz w:val="20"/>
                <w:szCs w:val="20"/>
                <w:color w:val="auto"/>
              </w:rPr>
            </w:pPr>
            <w:r>
              <w:rPr>
                <w:rFonts w:ascii="Times New Roman" w:cs="Times New Roman" w:eastAsia="Times New Roman" w:hAnsi="Times New Roman"/>
                <w:sz w:val="16"/>
                <w:szCs w:val="16"/>
                <w:color w:val="auto"/>
              </w:rPr>
              <w:t>4</w:t>
            </w:r>
          </w:p>
        </w:tc>
      </w:tr>
      <w:tr>
        <w:trPr>
          <w:trHeight w:val="432"/>
        </w:trPr>
        <w:tc>
          <w:tcPr>
            <w:tcW w:w="5740" w:type="dxa"/>
            <w:vAlign w:val="bottom"/>
            <w:tcBorders>
              <w:top w:val="single" w:sz="8" w:color="0000EE"/>
              <w:bottom w:val="single" w:sz="8" w:color="auto"/>
            </w:tcBorders>
          </w:tcPr>
          <w:p>
            <w:pPr>
              <w:jc w:val="center"/>
              <w:ind w:left="5413"/>
              <w:spacing w:after="0"/>
              <w:rPr>
                <w:sz w:val="20"/>
                <w:szCs w:val="20"/>
                <w:color w:val="auto"/>
              </w:rPr>
            </w:pPr>
            <w:r>
              <w:rPr>
                <w:rFonts w:ascii="Times New Roman" w:cs="Times New Roman" w:eastAsia="Times New Roman" w:hAnsi="Times New Roman"/>
                <w:sz w:val="18"/>
                <w:szCs w:val="18"/>
                <w:color w:val="auto"/>
                <w:w w:val="88"/>
              </w:rPr>
              <w:t>3</w:t>
            </w:r>
          </w:p>
        </w:tc>
        <w:tc>
          <w:tcPr>
            <w:tcW w:w="48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Stereotaxis,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Stereotaxis, Inc. (the Company) as of December 31, 2025 and 2024, the related consolidated statements of operations, convertible preferred stock and stockholders’ equity and cash flows for each of the two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688" w:right="339" w:bottom="906"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generates revenue from initial sales of systems as well as recurring revenue from the sale of proprietary disposable devices, and revenue from ongoing software updates and service contracts. The Company’s contracts for system sales generally have multiple performance obligations.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the timing and amount of revenue recognized for system sales required significant auditor judgment because it involves several subjective management assumptions and estimates including the identification of performance obligations within the contracts, the estimation of the standalone selling price of each performance obligation, the allocation of transaction price to each performance obligation, and a determination of the timing of the satisfaction of the performance obligation.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system revenue, our audit procedures included, among others, testing management’s identification of the performance obligations and the allocation of the transaction price to each performance obligation by performing an independent assessment of customer contracts and comparing our assessment to that of management. We also tested management’s estimated standalone selling prices for its identified performance obligations based on actual prices charged for similar products and services sold on a standalone basis, and cost and margin analyses. We also tested management’s assertion that control was transferred to the customer by inspecting documentation supporting the transfer of control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880" w:space="280"/>
            <w:col w:w="7080"/>
          </w:cols>
          <w:pgMar w:left="320" w:top="688" w:right="339" w:bottom="906"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00" w:type="dxa"/>
            <w:vAlign w:val="bottom"/>
            <w:gridSpan w:val="6"/>
          </w:tcPr>
          <w:p>
            <w:pPr>
              <w:ind w:left="1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4"/>
                <w:szCs w:val="24"/>
                <w:color w:val="auto"/>
              </w:rPr>
            </w:pPr>
          </w:p>
        </w:tc>
        <w:tc>
          <w:tcPr>
            <w:tcW w:w="10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LLP.</w:t>
            </w:r>
          </w:p>
        </w:tc>
      </w:tr>
      <w:tr>
        <w:trPr>
          <w:trHeight w:val="216"/>
        </w:trPr>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Chief Executive Officer).</w:t>
            </w:r>
          </w:p>
        </w:tc>
      </w:tr>
      <w:tr>
        <w:trPr>
          <w:trHeight w:val="216"/>
        </w:trPr>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7"/>
                <w:szCs w:val="17"/>
                <w:color w:val="auto"/>
              </w:rPr>
            </w:pPr>
          </w:p>
        </w:tc>
        <w:tc>
          <w:tcPr>
            <w:tcW w:w="10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Chief Financial Officer).</w:t>
            </w:r>
          </w:p>
        </w:tc>
      </w:tr>
      <w:tr>
        <w:trPr>
          <w:trHeight w:val="216"/>
        </w:trPr>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Chief Executive Officer).</w:t>
            </w:r>
          </w:p>
        </w:tc>
      </w:tr>
      <w:tr>
        <w:trPr>
          <w:trHeight w:val="216"/>
        </w:trPr>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7"/>
                <w:szCs w:val="17"/>
                <w:color w:val="auto"/>
              </w:rPr>
            </w:pPr>
          </w:p>
        </w:tc>
        <w:tc>
          <w:tcPr>
            <w:tcW w:w="10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Chief Financial Officer).</w:t>
            </w:r>
          </w:p>
        </w:tc>
      </w:tr>
      <w:tr>
        <w:trPr>
          <w:trHeight w:val="216"/>
        </w:trPr>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5"/>
                <w:szCs w:val="15"/>
                <w:color w:val="auto"/>
              </w:rPr>
            </w:pPr>
          </w:p>
        </w:tc>
        <w:tc>
          <w:tcPr>
            <w:tcW w:w="1028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Policy for Recovery of Erroneously Awarded Compensation incorporated by reference to Exhibit 97.1 of the Registrant’s Form 10-K (File No.</w:t>
              </w:r>
            </w:hyperlink>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001-36159) filed on March 8,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960" w:hanging="95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960" w:hanging="95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certain portions, which portions are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60" w:right="20" w:hanging="95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601(b)(2)(ii) of the Securities Exchange Act of 1934, as amended, certain confidential portions of this exhibit have been redacted from the publicly filed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960" w:hanging="95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registrant agrees to furnish supplementally to the Securities and Exchange Commission upon request; provided, however, that the registrant may request confidential treatment for any schedules or exhibits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STEREOTAXIS, INC. </w:t>
      </w:r>
      <w:r>
        <w:rPr>
          <w:rFonts w:ascii="Times New Roman" w:cs="Times New Roman" w:eastAsia="Times New Roman" w:hAnsi="Times New Roman"/>
          <w:sz w:val="18"/>
          <w:szCs w:val="18"/>
          <w:color w:val="auto"/>
        </w:rPr>
        <w:t>(Registrant)</w:t>
      </w:r>
    </w:p>
    <w:p>
      <w:pPr>
        <w:spacing w:after="0" w:line="227" w:lineRule="exact"/>
        <w:rPr>
          <w:sz w:val="20"/>
          <w:szCs w:val="20"/>
          <w:color w:val="auto"/>
        </w:rPr>
      </w:pPr>
    </w:p>
    <w:p>
      <w:pPr>
        <w:spacing w:after="0"/>
        <w:tabs>
          <w:tab w:leader="none" w:pos="5620" w:val="left"/>
          <w:tab w:leader="none" w:pos="7880" w:val="left"/>
        </w:tabs>
        <w:rPr>
          <w:sz w:val="20"/>
          <w:szCs w:val="20"/>
          <w:color w:val="auto"/>
        </w:rPr>
      </w:pPr>
      <w:r>
        <w:rPr>
          <w:rFonts w:ascii="Times New Roman" w:cs="Times New Roman" w:eastAsia="Times New Roman" w:hAnsi="Times New Roman"/>
          <w:sz w:val="18"/>
          <w:szCs w:val="18"/>
          <w:color w:val="auto"/>
        </w:rPr>
        <w:t>Date: April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David L. Fischel</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333-197929, 333-213052, 333-219860 and 333-233847) of Stereotaxis, Inc. pertaining to the Stereotaxis, Inc. 2012 Stock Incentive Plan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333-233846) of Stereotaxis, Inc. pertaining to the registration of 12,195,121 of shares of common stock of Stereotaxis, Inc.</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333-258751) of Stereotaxis, Inc. pertaining to Stereotaxis, Inc. 2012 Stock Incentive Plan, as Amended and Restated, and David L. Fischel CEO Performance Share Unit Award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333-266776 and 333-281767) of Stereotaxis, Inc. pertaining to Stereotaxis, Inc. 2022 Stock Incentive Plan and 2022 Employee Stock Purchase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333-272101) of Stereotaxis, Inc., pertaining to registration of 91,221,439 shares of common stock of Stereotaxis, Inc.</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333-281766) of Stereotaxis, Inc. pertaining to the registration of 6,100,000 shares of common stock of Stereotaxis, Inc.</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333-294288) of Stereotaxis, Inc. pertaining to registration of up to $100,000,000 of debt securities, common stock, preferred stock, warrants, rights or units of Stereotaxis, Inc. and separately the related sales agreement prospectus for the registration of up to $50,000,000 of its common stock.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12, 2026 with respect to the consolidated financial statements and schedule of Stereotaxis, Inc., included in this Annual Report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Fischel,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Stereotaxis,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L. Fischel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L. Fischel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R. Peery,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Stereotaxis,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Kimberly R. Peery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Kimberly R. Peery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Stereotaxis, Inc. (the “Company”) on Form 10-K/A for the period ended December 31, 2025 as filed with the Securities and Exchange Commission on the date hereof (the “Report”), I, David L. Fischel, Chief Executive Officer of the Company, certify, pursuant to Rule 13a-14(b) and Section 1350 of Chapter 63 of Title 18 of the United States Code, as adopted pursuant to Section 906 of the Sarbanes-Oxley Act of 2002, that to the best of my knowledge:</w:t>
      </w:r>
    </w:p>
    <w:p>
      <w:pPr>
        <w:spacing w:after="0" w:line="180"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L. Fischel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L. Fischel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Stereotaxis, Inc. (the “Company”) on Form 10-K/A for the period ended December 31, 2025 as filed with the Securities and Exchange Commission on the date hereof (the “Report”), I, Kimberly R. Peery, Chief Financial Officer of the Company, certify, pursuant to Rule 13a-14(b) and Section 1350 of Chapter 63 of Title 18 of the United States Code, as adopted pursuant to Section 906 of the Sarbanes-Oxley Act of 2002, that to the best of my knowledge:</w:t>
      </w:r>
    </w:p>
    <w:p>
      <w:pPr>
        <w:spacing w:after="0" w:line="180"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Kimberly R. Peery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Kimberly R. Peery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5" Type="http://schemas.openxmlformats.org/officeDocument/2006/relationships/hyperlink" Target="https://www.sec.gov/Archives/edgar/data/1289340/00014931522400937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2026-04-03T16:04:41Z</dcterms:created>
  <dcterms:modified xsi:type="dcterms:W3CDTF">2026-04-03T16:04:41Z</dcterms:modified>
</cp:coreProperties>
</file>